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CD60C" w14:textId="764A6882" w:rsidR="001A22F7" w:rsidRPr="003B64C9" w:rsidRDefault="001A22F7" w:rsidP="001A22F7">
      <w:pPr>
        <w:pStyle w:val="Heading1"/>
      </w:pPr>
      <w:r w:rsidRPr="003B64C9">
        <w:t>Tieverkostot</w:t>
      </w:r>
      <w:r>
        <w:t xml:space="preserve"> Mikkelissä</w:t>
      </w:r>
    </w:p>
    <w:p w14:paraId="2B5C6D57" w14:textId="77777777" w:rsidR="001A22F7" w:rsidRDefault="001A22F7" w:rsidP="001A22F7">
      <w:pPr>
        <w:jc w:val="both"/>
        <w:rPr>
          <w:rFonts w:ascii="Arial" w:hAnsi="Arial" w:cs="Arial"/>
          <w:sz w:val="25"/>
          <w:szCs w:val="25"/>
        </w:rPr>
      </w:pPr>
      <w:r w:rsidRPr="001C7462">
        <w:rPr>
          <w:rFonts w:ascii="Arial" w:hAnsi="Arial" w:cs="Arial"/>
          <w:sz w:val="25"/>
          <w:szCs w:val="25"/>
        </w:rPr>
        <w:t>Maanteiden pituus Mikkelin alueella on yhteensä 948 km, josta valtaosa (70 %) on yhdysteitä.  Valtateiden osuus on 15 %, kantateiden 9 % ja seututeiden 6 % (vuoden 2019 tiedot</w:t>
      </w:r>
      <w:r>
        <w:rPr>
          <w:rFonts w:ascii="Arial" w:hAnsi="Arial" w:cs="Arial"/>
          <w:sz w:val="25"/>
          <w:szCs w:val="25"/>
        </w:rPr>
        <w:t>, Tilastokeskus, Tietilasto</w:t>
      </w:r>
      <w:r w:rsidRPr="001C7462">
        <w:rPr>
          <w:rFonts w:ascii="Arial" w:hAnsi="Arial" w:cs="Arial"/>
          <w:sz w:val="25"/>
          <w:szCs w:val="25"/>
        </w:rPr>
        <w:t>).</w:t>
      </w:r>
      <w:r>
        <w:rPr>
          <w:rFonts w:ascii="Arial" w:hAnsi="Arial" w:cs="Arial"/>
          <w:sz w:val="25"/>
          <w:szCs w:val="25"/>
        </w:rPr>
        <w:t xml:space="preserve"> </w:t>
      </w:r>
    </w:p>
    <w:p w14:paraId="1BE9FBA8" w14:textId="79F2DE1E" w:rsidR="001A22F7" w:rsidRDefault="001A22F7" w:rsidP="001A22F7">
      <w:pPr>
        <w:jc w:val="both"/>
        <w:rPr>
          <w:rFonts w:ascii="Arial" w:hAnsi="Arial" w:cs="Arial"/>
          <w:sz w:val="25"/>
          <w:szCs w:val="25"/>
        </w:rPr>
      </w:pPr>
      <w:r>
        <w:rPr>
          <w:rFonts w:ascii="Arial" w:hAnsi="Arial" w:cs="Arial"/>
          <w:sz w:val="25"/>
          <w:szCs w:val="25"/>
        </w:rPr>
        <w:t>Maanteiden pituuksien perusteella arvioitiin tieverkostoon varastoidut materiaalimäärät (</w:t>
      </w:r>
      <w:proofErr w:type="spellStart"/>
      <w:r>
        <w:rPr>
          <w:rFonts w:ascii="Arial" w:hAnsi="Arial" w:cs="Arial"/>
          <w:sz w:val="25"/>
          <w:szCs w:val="25"/>
        </w:rPr>
        <w:t>stock</w:t>
      </w:r>
      <w:proofErr w:type="spellEnd"/>
      <w:r>
        <w:rPr>
          <w:rFonts w:ascii="Arial" w:hAnsi="Arial" w:cs="Arial"/>
          <w:sz w:val="25"/>
          <w:szCs w:val="25"/>
        </w:rPr>
        <w:t xml:space="preserve">). </w:t>
      </w:r>
      <w:r w:rsidR="00980974">
        <w:rPr>
          <w:rFonts w:ascii="Arial" w:hAnsi="Arial" w:cs="Arial"/>
          <w:sz w:val="25"/>
          <w:szCs w:val="25"/>
        </w:rPr>
        <w:t>Laskentaa varten haettiin taustatietoa teiden rakenteesta Suomessa ja laskelmat tehtiin alempana kuvattujen tilastojen, paikkatietoaineistojen ja kirjallisuustietojen perusteella.</w:t>
      </w:r>
    </w:p>
    <w:p w14:paraId="75402699" w14:textId="77777777" w:rsidR="00980974" w:rsidRDefault="00980974" w:rsidP="001A22F7">
      <w:pPr>
        <w:jc w:val="both"/>
        <w:rPr>
          <w:rFonts w:ascii="Arial" w:hAnsi="Arial" w:cs="Arial"/>
          <w:sz w:val="25"/>
          <w:szCs w:val="25"/>
        </w:rPr>
      </w:pPr>
    </w:p>
    <w:p w14:paraId="7A68175F" w14:textId="77777777" w:rsidR="001A22F7" w:rsidRPr="00A51834" w:rsidRDefault="001A22F7" w:rsidP="001A22F7">
      <w:pPr>
        <w:jc w:val="both"/>
        <w:rPr>
          <w:rFonts w:ascii="Arial" w:hAnsi="Arial" w:cs="Arial"/>
          <w:b/>
          <w:sz w:val="25"/>
          <w:szCs w:val="25"/>
        </w:rPr>
      </w:pPr>
      <w:r>
        <w:rPr>
          <w:rFonts w:ascii="Arial" w:hAnsi="Arial" w:cs="Arial"/>
          <w:b/>
          <w:sz w:val="25"/>
          <w:szCs w:val="25"/>
        </w:rPr>
        <w:t>Teiden rakenne</w:t>
      </w:r>
      <w:r w:rsidRPr="00A51834">
        <w:rPr>
          <w:rFonts w:ascii="Arial" w:hAnsi="Arial" w:cs="Arial"/>
          <w:b/>
          <w:sz w:val="25"/>
          <w:szCs w:val="25"/>
        </w:rPr>
        <w:t xml:space="preserve"> Suomessa</w:t>
      </w:r>
    </w:p>
    <w:p w14:paraId="06559253" w14:textId="77777777" w:rsidR="001A22F7" w:rsidRDefault="001A22F7" w:rsidP="001A22F7">
      <w:pPr>
        <w:jc w:val="both"/>
        <w:rPr>
          <w:rFonts w:ascii="Arial" w:hAnsi="Arial" w:cs="Arial"/>
          <w:sz w:val="25"/>
          <w:szCs w:val="25"/>
        </w:rPr>
      </w:pPr>
      <w:r>
        <w:rPr>
          <w:rFonts w:ascii="Arial" w:hAnsi="Arial" w:cs="Arial"/>
          <w:sz w:val="25"/>
          <w:szCs w:val="25"/>
        </w:rPr>
        <w:t>Tien alusrakenteena toimii pohjamaa tai pengertäyte. Alusrakenteen päälle rakennettavaan tien päällysrakenteeseen kuuluu useita eri kerroksia (Kuva 1). Rakenne suunnitellaan ja mitoitetaan tapauskohtaisesti liikenteen, käytettävien materiaalien ja alusrakenteen laadun (mm. routivuus) mukaan. Vilkkaasti ja raskaasti liikennöityjen teiden ylimmät päällystekerrokset voidaan usein rakentaa myös vaiheittain. (Liikennevirasto 2018)</w:t>
      </w:r>
    </w:p>
    <w:p w14:paraId="1BDB228B" w14:textId="77777777" w:rsidR="001A22F7" w:rsidRDefault="001A22F7" w:rsidP="001A22F7">
      <w:pPr>
        <w:jc w:val="both"/>
        <w:rPr>
          <w:rFonts w:ascii="Arial" w:hAnsi="Arial" w:cs="Arial"/>
          <w:sz w:val="25"/>
          <w:szCs w:val="25"/>
        </w:rPr>
      </w:pPr>
      <w:r>
        <w:rPr>
          <w:noProof/>
          <w:lang w:eastAsia="fi-FI"/>
        </w:rPr>
        <w:drawing>
          <wp:inline distT="0" distB="0" distL="0" distR="0" wp14:anchorId="473409DA" wp14:editId="326ADDF7">
            <wp:extent cx="5934075" cy="4200525"/>
            <wp:effectExtent l="0" t="0" r="9525" b="9525"/>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34075" cy="4200525"/>
                    </a:xfrm>
                    <a:prstGeom prst="rect">
                      <a:avLst/>
                    </a:prstGeom>
                  </pic:spPr>
                </pic:pic>
              </a:graphicData>
            </a:graphic>
          </wp:inline>
        </w:drawing>
      </w:r>
    </w:p>
    <w:p w14:paraId="40C8DE4D" w14:textId="77777777" w:rsidR="001A22F7" w:rsidRDefault="001A22F7" w:rsidP="001A22F7">
      <w:pPr>
        <w:jc w:val="both"/>
        <w:rPr>
          <w:rFonts w:ascii="Arial" w:hAnsi="Arial" w:cs="Arial"/>
          <w:sz w:val="25"/>
          <w:szCs w:val="25"/>
        </w:rPr>
      </w:pPr>
    </w:p>
    <w:p w14:paraId="75050577" w14:textId="77777777" w:rsidR="001A22F7" w:rsidRDefault="001A22F7" w:rsidP="001A22F7">
      <w:pPr>
        <w:tabs>
          <w:tab w:val="left" w:pos="2590"/>
        </w:tabs>
        <w:jc w:val="both"/>
        <w:rPr>
          <w:rFonts w:ascii="Arial" w:hAnsi="Arial" w:cs="Arial"/>
          <w:sz w:val="25"/>
          <w:szCs w:val="25"/>
        </w:rPr>
      </w:pPr>
      <w:r>
        <w:rPr>
          <w:rFonts w:ascii="Arial" w:hAnsi="Arial" w:cs="Arial"/>
          <w:sz w:val="25"/>
          <w:szCs w:val="25"/>
        </w:rPr>
        <w:lastRenderedPageBreak/>
        <w:t>Tierakenteen suunnittelua varten alusrakenteesta tulee määrittää tai arvioida sen ra-</w:t>
      </w:r>
      <w:proofErr w:type="spellStart"/>
      <w:r>
        <w:rPr>
          <w:rFonts w:ascii="Arial" w:hAnsi="Arial" w:cs="Arial"/>
          <w:sz w:val="25"/>
          <w:szCs w:val="25"/>
        </w:rPr>
        <w:t>keisuus</w:t>
      </w:r>
      <w:proofErr w:type="spellEnd"/>
      <w:r>
        <w:rPr>
          <w:rFonts w:ascii="Arial" w:hAnsi="Arial" w:cs="Arial"/>
          <w:sz w:val="25"/>
          <w:szCs w:val="25"/>
        </w:rPr>
        <w:t xml:space="preserve">, kuivatusolosuhde ja tasalaatuisuus, joiden perusteella määräytyy </w:t>
      </w:r>
      <w:proofErr w:type="spellStart"/>
      <w:r>
        <w:rPr>
          <w:rFonts w:ascii="Arial" w:hAnsi="Arial" w:cs="Arial"/>
          <w:sz w:val="25"/>
          <w:szCs w:val="25"/>
        </w:rPr>
        <w:t>alusraken-neluokka</w:t>
      </w:r>
      <w:proofErr w:type="spellEnd"/>
      <w:r>
        <w:rPr>
          <w:rFonts w:ascii="Arial" w:hAnsi="Arial" w:cs="Arial"/>
          <w:sz w:val="25"/>
          <w:szCs w:val="25"/>
        </w:rPr>
        <w:t>. Leikkausmateriaaleista määritetään lisäksi maan kelpoisuusluokka, joka kuvaa maamateriaalin soveltuvuutta penkereeseen märkänä tai kuivana ja mahdollista soveltuvuutta päällysrakenteeseen. Routamitoitus koskee alusrakenteeltaan routivia tieosuuksia. Routimattomilla alusrakenteilla (alusrakenneluokat A, B, C tai D) routamitoitusta ei tehdä. Routamitoituksen tavoitteena on estää haitalliset routimisesta aiheutuvat epätasaisuudet ja tien pinnan halkeamat. (Liikennevirasto 2018)</w:t>
      </w:r>
    </w:p>
    <w:p w14:paraId="5CAF89BC" w14:textId="77777777" w:rsidR="001A22F7" w:rsidRDefault="001A22F7" w:rsidP="001A22F7">
      <w:pPr>
        <w:tabs>
          <w:tab w:val="left" w:pos="2590"/>
        </w:tabs>
        <w:jc w:val="both"/>
        <w:rPr>
          <w:rFonts w:ascii="Arial" w:hAnsi="Arial" w:cs="Arial"/>
          <w:sz w:val="25"/>
          <w:szCs w:val="25"/>
        </w:rPr>
      </w:pPr>
      <w:r>
        <w:rPr>
          <w:rFonts w:ascii="Arial" w:hAnsi="Arial" w:cs="Arial"/>
          <w:sz w:val="25"/>
          <w:szCs w:val="25"/>
        </w:rPr>
        <w:t>Kuormituskestävyysmitoituksen tavoitteena on estää raskaan liikenteen aiheuttama päällysteiden halkeilu ja pysyvät muodonmuutokset tien rakennekerroksissa ja pohjamaassa. Vilkasliikenteisillä teillä käytetään paksuja useampikerroksisia päällysteitä, jotka ovat melko vesitiiviitä ja jäykkiä. Hyvin toimivassa päällysrakenteessa päällystekerrokset ovat toisiinsa liimautuneita, jolloin ne toimivat yhtenäisenä rakenteena. Lisäksi alemmat rakennekerrokset mitoitetaan riittävän kantaviksi ja alusrakenteen routanousu- ja painumaeroja tasoitetaan tehokkaasti. Ylin päällystekerros suunnitellaan riittävän hyvin nastarengaskulutusta kestäväksi. Vähäliikenteisillä päällystetyillä teillä käytetään ohuita ja muodonmuutoksia hyvin kestäviä päällysteitä, jotka eivät ole yleensä uutenakaan täysin vesitiiviitä. (Liikennevirasto 2018)</w:t>
      </w:r>
    </w:p>
    <w:p w14:paraId="5543D387" w14:textId="77777777" w:rsidR="001A22F7" w:rsidRDefault="001A22F7" w:rsidP="001A22F7">
      <w:pPr>
        <w:tabs>
          <w:tab w:val="left" w:pos="2590"/>
        </w:tabs>
        <w:jc w:val="both"/>
        <w:rPr>
          <w:rFonts w:ascii="Arial" w:hAnsi="Arial" w:cs="Arial"/>
          <w:sz w:val="25"/>
          <w:szCs w:val="25"/>
        </w:rPr>
      </w:pPr>
      <w:r>
        <w:rPr>
          <w:rFonts w:ascii="Arial" w:hAnsi="Arial" w:cs="Arial"/>
          <w:sz w:val="25"/>
          <w:szCs w:val="25"/>
        </w:rPr>
        <w:t>Riittävät kerrospaksuudet etsitään kantavuusmitoituksella. Tavoitekantavuuden täyttymisen lisäksi päällystekerrosten kokonaispaksuuden on oltava vähintään kuormitusluokan vaatimusten mukainen. (Liikennevirasto 2018)</w:t>
      </w:r>
    </w:p>
    <w:p w14:paraId="2616C0E7" w14:textId="77777777" w:rsidR="001A22F7" w:rsidRDefault="001A22F7" w:rsidP="001A22F7">
      <w:pPr>
        <w:tabs>
          <w:tab w:val="left" w:pos="2590"/>
        </w:tabs>
        <w:jc w:val="both"/>
        <w:rPr>
          <w:rFonts w:ascii="Arial" w:hAnsi="Arial" w:cs="Arial"/>
          <w:sz w:val="25"/>
          <w:szCs w:val="25"/>
        </w:rPr>
      </w:pPr>
    </w:p>
    <w:p w14:paraId="51F3361C" w14:textId="77777777" w:rsidR="001A22F7" w:rsidRPr="00A51834" w:rsidRDefault="001A22F7" w:rsidP="001A22F7">
      <w:pPr>
        <w:rPr>
          <w:rFonts w:ascii="Arial" w:hAnsi="Arial" w:cs="Arial"/>
          <w:b/>
          <w:sz w:val="24"/>
        </w:rPr>
      </w:pPr>
      <w:r>
        <w:rPr>
          <w:rFonts w:ascii="Arial" w:hAnsi="Arial" w:cs="Arial"/>
          <w:b/>
          <w:sz w:val="24"/>
        </w:rPr>
        <w:t>Laskennassa käytettävät aineistot ja oletusarvot</w:t>
      </w:r>
    </w:p>
    <w:p w14:paraId="7A6FA1FE" w14:textId="77777777" w:rsidR="001A22F7" w:rsidRDefault="001A22F7" w:rsidP="001A22F7">
      <w:pPr>
        <w:jc w:val="both"/>
        <w:rPr>
          <w:rFonts w:ascii="Arial" w:hAnsi="Arial" w:cs="Arial"/>
          <w:sz w:val="24"/>
        </w:rPr>
      </w:pPr>
      <w:r>
        <w:rPr>
          <w:rFonts w:ascii="Arial" w:hAnsi="Arial" w:cs="Arial"/>
          <w:sz w:val="24"/>
        </w:rPr>
        <w:t>Valtateiden ja m</w:t>
      </w:r>
      <w:r w:rsidRPr="00A51834">
        <w:rPr>
          <w:rFonts w:ascii="Arial" w:hAnsi="Arial" w:cs="Arial"/>
          <w:sz w:val="24"/>
        </w:rPr>
        <w:t>aanteiden pituu</w:t>
      </w:r>
      <w:r>
        <w:rPr>
          <w:rFonts w:ascii="Arial" w:hAnsi="Arial" w:cs="Arial"/>
          <w:sz w:val="24"/>
        </w:rPr>
        <w:t>ksien perusteella arvioitiin asfaltin sekä kiviainesten (sora, hiekka, murske) määrä. Laskennassa ei ole huomioitu katuverkoston tai kevyenliikenteenväylien materiaalimääriä. Myöskään siltoja ja tunneleita ei ole huomioitu. Siltojen ja tunneleiden määristä on olemassa avoimia paikkatietoaineistoja, joten ne voitaisiin myöhemmin sisällyttää materiaalitarkasteluun.</w:t>
      </w:r>
    </w:p>
    <w:p w14:paraId="27A6749A" w14:textId="77777777" w:rsidR="001A22F7" w:rsidRPr="00634358" w:rsidRDefault="001A22F7" w:rsidP="001A22F7">
      <w:pPr>
        <w:rPr>
          <w:rFonts w:ascii="Arial" w:hAnsi="Arial" w:cs="Arial"/>
          <w:i/>
          <w:sz w:val="24"/>
        </w:rPr>
      </w:pPr>
      <w:r w:rsidRPr="00634358">
        <w:rPr>
          <w:rFonts w:ascii="Arial" w:hAnsi="Arial" w:cs="Arial"/>
          <w:i/>
          <w:sz w:val="24"/>
        </w:rPr>
        <w:t>Asfaltin määrän laskeminen</w:t>
      </w:r>
    </w:p>
    <w:p w14:paraId="37D3FE01" w14:textId="77777777" w:rsidR="001A22F7" w:rsidRDefault="001A22F7" w:rsidP="001A22F7">
      <w:pPr>
        <w:jc w:val="both"/>
        <w:rPr>
          <w:rFonts w:ascii="Arial" w:hAnsi="Arial" w:cs="Arial"/>
          <w:sz w:val="24"/>
        </w:rPr>
      </w:pPr>
      <w:r>
        <w:rPr>
          <w:rFonts w:ascii="Arial" w:hAnsi="Arial" w:cs="Arial"/>
          <w:sz w:val="24"/>
        </w:rPr>
        <w:t xml:space="preserve">Asfaltin määrä laskettiin asfaltoitujen tieosuuksien pituuden, päällysteen leveyden ja päällystepaksuuden perusteella. </w:t>
      </w:r>
      <w:r>
        <w:rPr>
          <w:rFonts w:ascii="Arial" w:hAnsi="Arial" w:cs="Arial"/>
          <w:sz w:val="25"/>
          <w:szCs w:val="25"/>
        </w:rPr>
        <w:t xml:space="preserve">Väyläviraston avoimissa paikkatietoaineistoissa on päällysteleveys- (Tierekisterin tietolaji 173) ja päällysteen </w:t>
      </w:r>
      <w:proofErr w:type="gramStart"/>
      <w:r>
        <w:rPr>
          <w:rFonts w:ascii="Arial" w:hAnsi="Arial" w:cs="Arial"/>
          <w:sz w:val="25"/>
          <w:szCs w:val="25"/>
        </w:rPr>
        <w:t>paksuus-aineistot</w:t>
      </w:r>
      <w:proofErr w:type="gramEnd"/>
      <w:r>
        <w:rPr>
          <w:rFonts w:ascii="Arial" w:hAnsi="Arial" w:cs="Arial"/>
          <w:sz w:val="25"/>
          <w:szCs w:val="25"/>
        </w:rPr>
        <w:t xml:space="preserve"> (Tierekisterin tietolaji 332). Päällystepaksuus-aineisto ei kuitenkaan kata kaikkea Mikkelin päällystettyä tieverkostoa. Esimerkiksi Vt5 päällystepaksuudet puuttuvat aineistosta. Päällystepaksuudet vastaavat maatutkalla Kaakkois-Suomessa määritettyjä päällystepaksuuksia (Taulukko 2; Virtala 2016), mutta valtateiden päällystepaksuus on Mikkelin aineistossa alhaisempi (15,7 cm) kuin Kaakkois-Suomen aineistossa (20-30 cm).  Tierekisterin paikkatietoaineistojen sisältämien päällysteleveyksien ja päällystepaksuuksien keskiarvot ja vaihteluvälit eri tieluokissa on esitetty taulukossa 1. </w:t>
      </w:r>
    </w:p>
    <w:p w14:paraId="5AC43FD5" w14:textId="77777777" w:rsidR="001A22F7" w:rsidRDefault="001A22F7" w:rsidP="001A22F7">
      <w:pPr>
        <w:tabs>
          <w:tab w:val="left" w:pos="2590"/>
        </w:tabs>
        <w:rPr>
          <w:rFonts w:ascii="Arial" w:hAnsi="Arial" w:cs="Arial"/>
          <w:sz w:val="24"/>
        </w:rPr>
      </w:pPr>
    </w:p>
    <w:p w14:paraId="35D1B58E" w14:textId="77777777" w:rsidR="001A22F7" w:rsidRPr="008E058C" w:rsidRDefault="001A22F7" w:rsidP="001A22F7">
      <w:pPr>
        <w:tabs>
          <w:tab w:val="left" w:pos="2590"/>
        </w:tabs>
        <w:jc w:val="both"/>
        <w:rPr>
          <w:rFonts w:ascii="Arial" w:hAnsi="Arial" w:cs="Arial"/>
          <w:sz w:val="20"/>
        </w:rPr>
      </w:pPr>
      <w:r w:rsidRPr="008E058C">
        <w:rPr>
          <w:rFonts w:ascii="Arial" w:hAnsi="Arial" w:cs="Arial"/>
          <w:b/>
          <w:sz w:val="20"/>
        </w:rPr>
        <w:lastRenderedPageBreak/>
        <w:t xml:space="preserve">Taulukko 1. </w:t>
      </w:r>
      <w:proofErr w:type="spellStart"/>
      <w:r>
        <w:rPr>
          <w:rFonts w:ascii="Arial" w:hAnsi="Arial" w:cs="Arial"/>
          <w:sz w:val="20"/>
        </w:rPr>
        <w:t>Päälysteen</w:t>
      </w:r>
      <w:proofErr w:type="spellEnd"/>
      <w:r w:rsidRPr="008E058C">
        <w:rPr>
          <w:rFonts w:ascii="Arial" w:hAnsi="Arial" w:cs="Arial"/>
          <w:sz w:val="20"/>
        </w:rPr>
        <w:t xml:space="preserve"> määrän arvioimisessa käytetyt tiedot. Päällysteleveys ja päällystepaksuus Mikkelissä tietyypeittäin (Väylävirasto, Tierekisterin tietolajit TL173 ja TL332) sekä näiden tietojen perusteella laskettu kilometrikohtainen tilavuus ja massa. Asfaltin tiheystieto: </w:t>
      </w:r>
      <w:proofErr w:type="spellStart"/>
      <w:r w:rsidRPr="008E058C">
        <w:rPr>
          <w:rFonts w:ascii="Arial" w:hAnsi="Arial" w:cs="Arial"/>
          <w:sz w:val="20"/>
        </w:rPr>
        <w:t>Pekkaniska</w:t>
      </w:r>
      <w:proofErr w:type="spellEnd"/>
      <w:r w:rsidRPr="008E058C">
        <w:rPr>
          <w:rFonts w:ascii="Arial" w:hAnsi="Arial" w:cs="Arial"/>
          <w:sz w:val="20"/>
        </w:rPr>
        <w:t xml:space="preserve"> Oy.</w:t>
      </w:r>
    </w:p>
    <w:tbl>
      <w:tblPr>
        <w:tblStyle w:val="TableGrid"/>
        <w:tblW w:w="5000" w:type="pct"/>
        <w:tblLayout w:type="fixed"/>
        <w:tblLook w:val="04A0" w:firstRow="1" w:lastRow="0" w:firstColumn="1" w:lastColumn="0" w:noHBand="0" w:noVBand="1"/>
      </w:tblPr>
      <w:tblGrid>
        <w:gridCol w:w="1604"/>
        <w:gridCol w:w="1606"/>
        <w:gridCol w:w="1606"/>
        <w:gridCol w:w="1604"/>
        <w:gridCol w:w="1606"/>
        <w:gridCol w:w="1602"/>
      </w:tblGrid>
      <w:tr w:rsidR="001A22F7" w:rsidRPr="00B30D08" w14:paraId="60E497A8" w14:textId="77777777" w:rsidTr="002D6673">
        <w:trPr>
          <w:trHeight w:val="290"/>
        </w:trPr>
        <w:tc>
          <w:tcPr>
            <w:tcW w:w="833" w:type="pct"/>
            <w:noWrap/>
            <w:hideMark/>
          </w:tcPr>
          <w:p w14:paraId="492EE6FF" w14:textId="77777777" w:rsidR="001A22F7" w:rsidRPr="00B30D08" w:rsidRDefault="001A22F7" w:rsidP="002D6673">
            <w:pPr>
              <w:rPr>
                <w:rFonts w:ascii="Arial" w:eastAsia="Times New Roman" w:hAnsi="Arial" w:cs="Arial"/>
                <w:sz w:val="24"/>
                <w:szCs w:val="24"/>
                <w:lang w:eastAsia="fi-FI"/>
              </w:rPr>
            </w:pPr>
          </w:p>
        </w:tc>
        <w:tc>
          <w:tcPr>
            <w:tcW w:w="834" w:type="pct"/>
            <w:noWrap/>
            <w:hideMark/>
          </w:tcPr>
          <w:p w14:paraId="27609962" w14:textId="77777777" w:rsidR="001A22F7" w:rsidRPr="00B30D08" w:rsidRDefault="001A22F7" w:rsidP="002D6673">
            <w:pPr>
              <w:rPr>
                <w:rFonts w:ascii="Arial" w:eastAsia="Times New Roman" w:hAnsi="Arial" w:cs="Arial"/>
                <w:color w:val="000000"/>
                <w:lang w:eastAsia="fi-FI"/>
              </w:rPr>
            </w:pPr>
            <w:r>
              <w:rPr>
                <w:rFonts w:ascii="Arial" w:eastAsia="Times New Roman" w:hAnsi="Arial" w:cs="Arial"/>
                <w:color w:val="000000"/>
                <w:lang w:eastAsia="fi-FI"/>
              </w:rPr>
              <w:t>Päällyste-l</w:t>
            </w:r>
            <w:r w:rsidRPr="00B30D08">
              <w:rPr>
                <w:rFonts w:ascii="Arial" w:eastAsia="Times New Roman" w:hAnsi="Arial" w:cs="Arial"/>
                <w:color w:val="000000"/>
                <w:lang w:eastAsia="fi-FI"/>
              </w:rPr>
              <w:t>eveys (m)</w:t>
            </w:r>
          </w:p>
        </w:tc>
        <w:tc>
          <w:tcPr>
            <w:tcW w:w="834" w:type="pct"/>
            <w:noWrap/>
            <w:hideMark/>
          </w:tcPr>
          <w:p w14:paraId="3FE908C9" w14:textId="77777777" w:rsidR="001A22F7" w:rsidRPr="00B30D08" w:rsidRDefault="001A22F7" w:rsidP="002D6673">
            <w:pPr>
              <w:rPr>
                <w:rFonts w:ascii="Arial" w:eastAsia="Times New Roman" w:hAnsi="Arial" w:cs="Arial"/>
                <w:color w:val="000000"/>
                <w:lang w:eastAsia="fi-FI"/>
              </w:rPr>
            </w:pPr>
            <w:r>
              <w:rPr>
                <w:rFonts w:ascii="Arial" w:eastAsia="Times New Roman" w:hAnsi="Arial" w:cs="Arial"/>
                <w:color w:val="000000"/>
                <w:lang w:eastAsia="fi-FI"/>
              </w:rPr>
              <w:t>Päällyste-p</w:t>
            </w:r>
            <w:r w:rsidRPr="00B30D08">
              <w:rPr>
                <w:rFonts w:ascii="Arial" w:eastAsia="Times New Roman" w:hAnsi="Arial" w:cs="Arial"/>
                <w:color w:val="000000"/>
                <w:lang w:eastAsia="fi-FI"/>
              </w:rPr>
              <w:t>aksuus (m)</w:t>
            </w:r>
          </w:p>
        </w:tc>
        <w:tc>
          <w:tcPr>
            <w:tcW w:w="833" w:type="pct"/>
            <w:noWrap/>
            <w:hideMark/>
          </w:tcPr>
          <w:p w14:paraId="6A02EC18" w14:textId="77777777" w:rsidR="001A22F7" w:rsidRPr="00B30D08" w:rsidRDefault="001A22F7" w:rsidP="002D6673">
            <w:pPr>
              <w:rPr>
                <w:rFonts w:ascii="Arial" w:eastAsia="Times New Roman" w:hAnsi="Arial" w:cs="Arial"/>
                <w:color w:val="000000"/>
                <w:lang w:eastAsia="fi-FI"/>
              </w:rPr>
            </w:pPr>
            <w:r>
              <w:rPr>
                <w:rFonts w:ascii="Arial" w:eastAsia="Times New Roman" w:hAnsi="Arial" w:cs="Arial"/>
                <w:color w:val="000000"/>
                <w:lang w:eastAsia="fi-FI"/>
              </w:rPr>
              <w:t>T</w:t>
            </w:r>
            <w:r w:rsidRPr="00B30D08">
              <w:rPr>
                <w:rFonts w:ascii="Arial" w:eastAsia="Times New Roman" w:hAnsi="Arial" w:cs="Arial"/>
                <w:color w:val="000000"/>
                <w:lang w:eastAsia="fi-FI"/>
              </w:rPr>
              <w:t>ilavuus (m</w:t>
            </w:r>
            <w:r w:rsidRPr="00B30D08">
              <w:rPr>
                <w:rFonts w:ascii="Arial" w:eastAsia="Times New Roman" w:hAnsi="Arial" w:cs="Arial"/>
                <w:color w:val="000000"/>
                <w:vertAlign w:val="superscript"/>
                <w:lang w:eastAsia="fi-FI"/>
              </w:rPr>
              <w:t>3</w:t>
            </w:r>
            <w:r>
              <w:rPr>
                <w:rFonts w:ascii="Arial" w:eastAsia="Times New Roman" w:hAnsi="Arial" w:cs="Arial"/>
                <w:color w:val="000000"/>
                <w:lang w:eastAsia="fi-FI"/>
              </w:rPr>
              <w:t>/km</w:t>
            </w:r>
            <w:r w:rsidRPr="00B30D08">
              <w:rPr>
                <w:rFonts w:ascii="Arial" w:eastAsia="Times New Roman" w:hAnsi="Arial" w:cs="Arial"/>
                <w:color w:val="000000"/>
                <w:lang w:eastAsia="fi-FI"/>
              </w:rPr>
              <w:t>)</w:t>
            </w:r>
          </w:p>
        </w:tc>
        <w:tc>
          <w:tcPr>
            <w:tcW w:w="834" w:type="pct"/>
            <w:noWrap/>
            <w:hideMark/>
          </w:tcPr>
          <w:p w14:paraId="0D285633" w14:textId="77777777" w:rsidR="001A22F7" w:rsidRDefault="001A22F7" w:rsidP="002D6673">
            <w:pPr>
              <w:rPr>
                <w:rFonts w:ascii="Arial" w:eastAsia="Times New Roman" w:hAnsi="Arial" w:cs="Arial"/>
                <w:color w:val="000000"/>
                <w:lang w:eastAsia="fi-FI"/>
              </w:rPr>
            </w:pPr>
            <w:r>
              <w:rPr>
                <w:rFonts w:ascii="Arial" w:eastAsia="Times New Roman" w:hAnsi="Arial" w:cs="Arial"/>
                <w:color w:val="000000"/>
                <w:lang w:eastAsia="fi-FI"/>
              </w:rPr>
              <w:t>A</w:t>
            </w:r>
            <w:r w:rsidRPr="00B30D08">
              <w:rPr>
                <w:rFonts w:ascii="Arial" w:eastAsia="Times New Roman" w:hAnsi="Arial" w:cs="Arial"/>
                <w:color w:val="000000"/>
                <w:lang w:eastAsia="fi-FI"/>
              </w:rPr>
              <w:t xml:space="preserve">sfaltin </w:t>
            </w:r>
          </w:p>
          <w:p w14:paraId="5F7F9135" w14:textId="77777777" w:rsidR="001A22F7" w:rsidRPr="00B30D08" w:rsidRDefault="001A22F7" w:rsidP="002D6673">
            <w:pPr>
              <w:rPr>
                <w:rFonts w:ascii="Arial" w:eastAsia="Times New Roman" w:hAnsi="Arial" w:cs="Arial"/>
                <w:color w:val="000000"/>
                <w:lang w:eastAsia="fi-FI"/>
              </w:rPr>
            </w:pPr>
            <w:r w:rsidRPr="00B30D08">
              <w:rPr>
                <w:rFonts w:ascii="Arial" w:eastAsia="Times New Roman" w:hAnsi="Arial" w:cs="Arial"/>
                <w:color w:val="000000"/>
                <w:lang w:eastAsia="fi-FI"/>
              </w:rPr>
              <w:t>tiheys (t/m</w:t>
            </w:r>
            <w:r w:rsidRPr="00B30D08">
              <w:rPr>
                <w:rFonts w:ascii="Arial" w:eastAsia="Times New Roman" w:hAnsi="Arial" w:cs="Arial"/>
                <w:color w:val="000000"/>
                <w:vertAlign w:val="superscript"/>
                <w:lang w:eastAsia="fi-FI"/>
              </w:rPr>
              <w:t>3</w:t>
            </w:r>
            <w:r w:rsidRPr="00B30D08">
              <w:rPr>
                <w:rFonts w:ascii="Arial" w:eastAsia="Times New Roman" w:hAnsi="Arial" w:cs="Arial"/>
                <w:color w:val="000000"/>
                <w:lang w:eastAsia="fi-FI"/>
              </w:rPr>
              <w:t>)</w:t>
            </w:r>
          </w:p>
        </w:tc>
        <w:tc>
          <w:tcPr>
            <w:tcW w:w="834" w:type="pct"/>
            <w:noWrap/>
            <w:hideMark/>
          </w:tcPr>
          <w:p w14:paraId="3BF27E50" w14:textId="77777777" w:rsidR="001A22F7" w:rsidRPr="00B30D08" w:rsidRDefault="001A22F7" w:rsidP="002D6673">
            <w:pPr>
              <w:rPr>
                <w:rFonts w:ascii="Arial" w:eastAsia="Times New Roman" w:hAnsi="Arial" w:cs="Arial"/>
                <w:color w:val="000000"/>
                <w:lang w:eastAsia="fi-FI"/>
              </w:rPr>
            </w:pPr>
            <w:r>
              <w:rPr>
                <w:rFonts w:ascii="Arial" w:eastAsia="Times New Roman" w:hAnsi="Arial" w:cs="Arial"/>
                <w:color w:val="000000"/>
                <w:lang w:eastAsia="fi-FI"/>
              </w:rPr>
              <w:t xml:space="preserve">Päällysteen </w:t>
            </w:r>
            <w:r w:rsidRPr="00B30D08">
              <w:rPr>
                <w:rFonts w:ascii="Arial" w:eastAsia="Times New Roman" w:hAnsi="Arial" w:cs="Arial"/>
                <w:color w:val="000000"/>
                <w:lang w:eastAsia="fi-FI"/>
              </w:rPr>
              <w:t>määrä (t/km)</w:t>
            </w:r>
          </w:p>
        </w:tc>
      </w:tr>
      <w:tr w:rsidR="001A22F7" w:rsidRPr="00B30D08" w14:paraId="45530CD0" w14:textId="77777777" w:rsidTr="002D6673">
        <w:trPr>
          <w:trHeight w:val="290"/>
        </w:trPr>
        <w:tc>
          <w:tcPr>
            <w:tcW w:w="833" w:type="pct"/>
            <w:noWrap/>
            <w:hideMark/>
          </w:tcPr>
          <w:p w14:paraId="3C9AE4A5" w14:textId="77777777" w:rsidR="001A22F7" w:rsidRPr="00B30D08" w:rsidRDefault="001A22F7" w:rsidP="002D6673">
            <w:pPr>
              <w:rPr>
                <w:rFonts w:ascii="Arial" w:eastAsia="Times New Roman" w:hAnsi="Arial" w:cs="Arial"/>
                <w:color w:val="000000"/>
                <w:lang w:eastAsia="fi-FI"/>
              </w:rPr>
            </w:pPr>
            <w:r w:rsidRPr="00B30D08">
              <w:rPr>
                <w:rFonts w:ascii="Arial" w:eastAsia="Times New Roman" w:hAnsi="Arial" w:cs="Arial"/>
                <w:color w:val="000000"/>
                <w:lang w:eastAsia="fi-FI"/>
              </w:rPr>
              <w:t>Valtatiet</w:t>
            </w:r>
          </w:p>
        </w:tc>
        <w:tc>
          <w:tcPr>
            <w:tcW w:w="834" w:type="pct"/>
            <w:noWrap/>
            <w:hideMark/>
          </w:tcPr>
          <w:p w14:paraId="1D4254E7" w14:textId="77777777" w:rsidR="001A22F7" w:rsidRPr="00B30D08" w:rsidRDefault="001A22F7" w:rsidP="002D6673">
            <w:pPr>
              <w:jc w:val="right"/>
              <w:rPr>
                <w:rFonts w:ascii="Arial" w:eastAsia="Times New Roman" w:hAnsi="Arial" w:cs="Arial"/>
                <w:color w:val="000000"/>
                <w:lang w:eastAsia="fi-FI"/>
              </w:rPr>
            </w:pPr>
            <w:r w:rsidRPr="00B30D08">
              <w:rPr>
                <w:rFonts w:ascii="Arial" w:eastAsia="Times New Roman" w:hAnsi="Arial" w:cs="Arial"/>
                <w:color w:val="000000"/>
                <w:lang w:eastAsia="fi-FI"/>
              </w:rPr>
              <w:t>8,46</w:t>
            </w:r>
          </w:p>
        </w:tc>
        <w:tc>
          <w:tcPr>
            <w:tcW w:w="834" w:type="pct"/>
            <w:noWrap/>
            <w:hideMark/>
          </w:tcPr>
          <w:p w14:paraId="14BFD5EC" w14:textId="77777777" w:rsidR="001A22F7" w:rsidRPr="00B30D08" w:rsidRDefault="001A22F7" w:rsidP="002D6673">
            <w:pPr>
              <w:jc w:val="right"/>
              <w:rPr>
                <w:rFonts w:ascii="Arial" w:eastAsia="Times New Roman" w:hAnsi="Arial" w:cs="Arial"/>
                <w:color w:val="000000"/>
                <w:lang w:eastAsia="fi-FI"/>
              </w:rPr>
            </w:pPr>
            <w:r w:rsidRPr="00B30D08">
              <w:rPr>
                <w:rFonts w:ascii="Arial" w:eastAsia="Times New Roman" w:hAnsi="Arial" w:cs="Arial"/>
                <w:color w:val="000000"/>
                <w:lang w:eastAsia="fi-FI"/>
              </w:rPr>
              <w:t>0,157</w:t>
            </w:r>
          </w:p>
        </w:tc>
        <w:tc>
          <w:tcPr>
            <w:tcW w:w="833" w:type="pct"/>
            <w:noWrap/>
            <w:hideMark/>
          </w:tcPr>
          <w:p w14:paraId="1E7E7476" w14:textId="77777777" w:rsidR="001A22F7" w:rsidRPr="00B30D08" w:rsidRDefault="001A22F7" w:rsidP="002D6673">
            <w:pPr>
              <w:jc w:val="right"/>
              <w:rPr>
                <w:rFonts w:ascii="Arial" w:eastAsia="Times New Roman" w:hAnsi="Arial" w:cs="Arial"/>
                <w:color w:val="000000"/>
                <w:lang w:eastAsia="fi-FI"/>
              </w:rPr>
            </w:pPr>
            <w:r w:rsidRPr="00B30D08">
              <w:rPr>
                <w:rFonts w:ascii="Arial" w:eastAsia="Times New Roman" w:hAnsi="Arial" w:cs="Arial"/>
                <w:color w:val="000000"/>
                <w:lang w:eastAsia="fi-FI"/>
              </w:rPr>
              <w:t>1328</w:t>
            </w:r>
          </w:p>
        </w:tc>
        <w:tc>
          <w:tcPr>
            <w:tcW w:w="834" w:type="pct"/>
            <w:noWrap/>
            <w:hideMark/>
          </w:tcPr>
          <w:p w14:paraId="74468F68" w14:textId="77777777" w:rsidR="001A22F7" w:rsidRPr="00B30D08" w:rsidRDefault="001A22F7" w:rsidP="002D6673">
            <w:pPr>
              <w:jc w:val="right"/>
              <w:rPr>
                <w:rFonts w:ascii="Arial" w:eastAsia="Times New Roman" w:hAnsi="Arial" w:cs="Arial"/>
                <w:color w:val="000000"/>
                <w:lang w:eastAsia="fi-FI"/>
              </w:rPr>
            </w:pPr>
            <w:r w:rsidRPr="00B30D08">
              <w:rPr>
                <w:rFonts w:ascii="Arial" w:eastAsia="Times New Roman" w:hAnsi="Arial" w:cs="Arial"/>
                <w:color w:val="000000"/>
                <w:lang w:eastAsia="fi-FI"/>
              </w:rPr>
              <w:t>1,5</w:t>
            </w:r>
          </w:p>
        </w:tc>
        <w:tc>
          <w:tcPr>
            <w:tcW w:w="834" w:type="pct"/>
            <w:noWrap/>
            <w:hideMark/>
          </w:tcPr>
          <w:p w14:paraId="51F87FFE" w14:textId="77777777" w:rsidR="001A22F7" w:rsidRPr="00B30D08" w:rsidRDefault="001A22F7" w:rsidP="002D6673">
            <w:pPr>
              <w:jc w:val="right"/>
              <w:rPr>
                <w:rFonts w:ascii="Arial" w:eastAsia="Times New Roman" w:hAnsi="Arial" w:cs="Arial"/>
                <w:color w:val="000000"/>
                <w:lang w:eastAsia="fi-FI"/>
              </w:rPr>
            </w:pPr>
            <w:r w:rsidRPr="00B30D08">
              <w:rPr>
                <w:rFonts w:ascii="Arial" w:eastAsia="Times New Roman" w:hAnsi="Arial" w:cs="Arial"/>
                <w:color w:val="000000"/>
                <w:lang w:eastAsia="fi-FI"/>
              </w:rPr>
              <w:t>1992</w:t>
            </w:r>
          </w:p>
        </w:tc>
      </w:tr>
      <w:tr w:rsidR="001A22F7" w:rsidRPr="00B30D08" w14:paraId="32133FD6" w14:textId="77777777" w:rsidTr="002D6673">
        <w:trPr>
          <w:trHeight w:val="290"/>
        </w:trPr>
        <w:tc>
          <w:tcPr>
            <w:tcW w:w="833" w:type="pct"/>
            <w:noWrap/>
            <w:hideMark/>
          </w:tcPr>
          <w:p w14:paraId="1E1F63BA" w14:textId="77777777" w:rsidR="001A22F7" w:rsidRPr="00B30D08" w:rsidRDefault="001A22F7" w:rsidP="002D6673">
            <w:pPr>
              <w:rPr>
                <w:rFonts w:ascii="Arial" w:eastAsia="Times New Roman" w:hAnsi="Arial" w:cs="Arial"/>
                <w:color w:val="000000"/>
                <w:lang w:eastAsia="fi-FI"/>
              </w:rPr>
            </w:pPr>
            <w:r w:rsidRPr="00B30D08">
              <w:rPr>
                <w:rFonts w:ascii="Arial" w:eastAsia="Times New Roman" w:hAnsi="Arial" w:cs="Arial"/>
                <w:color w:val="000000"/>
                <w:lang w:eastAsia="fi-FI"/>
              </w:rPr>
              <w:t>Kantatiet</w:t>
            </w:r>
          </w:p>
        </w:tc>
        <w:tc>
          <w:tcPr>
            <w:tcW w:w="834" w:type="pct"/>
            <w:noWrap/>
            <w:hideMark/>
          </w:tcPr>
          <w:p w14:paraId="35419A15" w14:textId="77777777" w:rsidR="001A22F7" w:rsidRPr="00B30D08" w:rsidRDefault="001A22F7" w:rsidP="002D6673">
            <w:pPr>
              <w:jc w:val="right"/>
              <w:rPr>
                <w:rFonts w:ascii="Arial" w:eastAsia="Times New Roman" w:hAnsi="Arial" w:cs="Arial"/>
                <w:color w:val="000000"/>
                <w:lang w:eastAsia="fi-FI"/>
              </w:rPr>
            </w:pPr>
            <w:r w:rsidRPr="00B30D08">
              <w:rPr>
                <w:rFonts w:ascii="Arial" w:eastAsia="Times New Roman" w:hAnsi="Arial" w:cs="Arial"/>
                <w:color w:val="000000"/>
                <w:lang w:eastAsia="fi-FI"/>
              </w:rPr>
              <w:t>8,18</w:t>
            </w:r>
          </w:p>
        </w:tc>
        <w:tc>
          <w:tcPr>
            <w:tcW w:w="834" w:type="pct"/>
            <w:noWrap/>
            <w:hideMark/>
          </w:tcPr>
          <w:p w14:paraId="30C0E45B" w14:textId="77777777" w:rsidR="001A22F7" w:rsidRPr="00B30D08" w:rsidRDefault="001A22F7" w:rsidP="002D6673">
            <w:pPr>
              <w:jc w:val="right"/>
              <w:rPr>
                <w:rFonts w:ascii="Arial" w:eastAsia="Times New Roman" w:hAnsi="Arial" w:cs="Arial"/>
                <w:color w:val="000000"/>
                <w:lang w:eastAsia="fi-FI"/>
              </w:rPr>
            </w:pPr>
            <w:r w:rsidRPr="00B30D08">
              <w:rPr>
                <w:rFonts w:ascii="Arial" w:eastAsia="Times New Roman" w:hAnsi="Arial" w:cs="Arial"/>
                <w:color w:val="000000"/>
                <w:lang w:eastAsia="fi-FI"/>
              </w:rPr>
              <w:t>0,150</w:t>
            </w:r>
          </w:p>
        </w:tc>
        <w:tc>
          <w:tcPr>
            <w:tcW w:w="833" w:type="pct"/>
            <w:noWrap/>
            <w:hideMark/>
          </w:tcPr>
          <w:p w14:paraId="730550E5" w14:textId="77777777" w:rsidR="001A22F7" w:rsidRPr="00B30D08" w:rsidRDefault="001A22F7" w:rsidP="002D6673">
            <w:pPr>
              <w:jc w:val="right"/>
              <w:rPr>
                <w:rFonts w:ascii="Arial" w:eastAsia="Times New Roman" w:hAnsi="Arial" w:cs="Arial"/>
                <w:color w:val="000000"/>
                <w:lang w:eastAsia="fi-FI"/>
              </w:rPr>
            </w:pPr>
            <w:r w:rsidRPr="00B30D08">
              <w:rPr>
                <w:rFonts w:ascii="Arial" w:eastAsia="Times New Roman" w:hAnsi="Arial" w:cs="Arial"/>
                <w:color w:val="000000"/>
                <w:lang w:eastAsia="fi-FI"/>
              </w:rPr>
              <w:t>1227</w:t>
            </w:r>
          </w:p>
        </w:tc>
        <w:tc>
          <w:tcPr>
            <w:tcW w:w="834" w:type="pct"/>
            <w:noWrap/>
            <w:hideMark/>
          </w:tcPr>
          <w:p w14:paraId="2DFD593A" w14:textId="77777777" w:rsidR="001A22F7" w:rsidRPr="00B30D08" w:rsidRDefault="001A22F7" w:rsidP="002D6673">
            <w:pPr>
              <w:jc w:val="right"/>
              <w:rPr>
                <w:rFonts w:ascii="Arial" w:eastAsia="Times New Roman" w:hAnsi="Arial" w:cs="Arial"/>
                <w:color w:val="000000"/>
                <w:lang w:eastAsia="fi-FI"/>
              </w:rPr>
            </w:pPr>
            <w:r w:rsidRPr="00B30D08">
              <w:rPr>
                <w:rFonts w:ascii="Arial" w:eastAsia="Times New Roman" w:hAnsi="Arial" w:cs="Arial"/>
                <w:color w:val="000000"/>
                <w:lang w:eastAsia="fi-FI"/>
              </w:rPr>
              <w:t>1,5</w:t>
            </w:r>
          </w:p>
        </w:tc>
        <w:tc>
          <w:tcPr>
            <w:tcW w:w="834" w:type="pct"/>
            <w:noWrap/>
            <w:hideMark/>
          </w:tcPr>
          <w:p w14:paraId="6B54DF9B" w14:textId="77777777" w:rsidR="001A22F7" w:rsidRPr="00B30D08" w:rsidRDefault="001A22F7" w:rsidP="002D6673">
            <w:pPr>
              <w:jc w:val="right"/>
              <w:rPr>
                <w:rFonts w:ascii="Arial" w:eastAsia="Times New Roman" w:hAnsi="Arial" w:cs="Arial"/>
                <w:color w:val="000000"/>
                <w:lang w:eastAsia="fi-FI"/>
              </w:rPr>
            </w:pPr>
            <w:r w:rsidRPr="00B30D08">
              <w:rPr>
                <w:rFonts w:ascii="Arial" w:eastAsia="Times New Roman" w:hAnsi="Arial" w:cs="Arial"/>
                <w:color w:val="000000"/>
                <w:lang w:eastAsia="fi-FI"/>
              </w:rPr>
              <w:t>1841</w:t>
            </w:r>
          </w:p>
        </w:tc>
      </w:tr>
      <w:tr w:rsidR="001A22F7" w:rsidRPr="00B30D08" w14:paraId="2F0F1714" w14:textId="77777777" w:rsidTr="002D6673">
        <w:trPr>
          <w:trHeight w:val="290"/>
        </w:trPr>
        <w:tc>
          <w:tcPr>
            <w:tcW w:w="833" w:type="pct"/>
            <w:noWrap/>
            <w:hideMark/>
          </w:tcPr>
          <w:p w14:paraId="2784B867" w14:textId="77777777" w:rsidR="001A22F7" w:rsidRPr="00B30D08" w:rsidRDefault="001A22F7" w:rsidP="002D6673">
            <w:pPr>
              <w:rPr>
                <w:rFonts w:ascii="Arial" w:eastAsia="Times New Roman" w:hAnsi="Arial" w:cs="Arial"/>
                <w:color w:val="000000"/>
                <w:lang w:eastAsia="fi-FI"/>
              </w:rPr>
            </w:pPr>
            <w:r w:rsidRPr="00B30D08">
              <w:rPr>
                <w:rFonts w:ascii="Arial" w:eastAsia="Times New Roman" w:hAnsi="Arial" w:cs="Arial"/>
                <w:color w:val="000000"/>
                <w:lang w:eastAsia="fi-FI"/>
              </w:rPr>
              <w:t>Seututiet</w:t>
            </w:r>
          </w:p>
        </w:tc>
        <w:tc>
          <w:tcPr>
            <w:tcW w:w="834" w:type="pct"/>
            <w:noWrap/>
            <w:hideMark/>
          </w:tcPr>
          <w:p w14:paraId="29A32215" w14:textId="77777777" w:rsidR="001A22F7" w:rsidRPr="00B30D08" w:rsidRDefault="001A22F7" w:rsidP="002D6673">
            <w:pPr>
              <w:jc w:val="right"/>
              <w:rPr>
                <w:rFonts w:ascii="Arial" w:eastAsia="Times New Roman" w:hAnsi="Arial" w:cs="Arial"/>
                <w:color w:val="000000"/>
                <w:lang w:eastAsia="fi-FI"/>
              </w:rPr>
            </w:pPr>
            <w:r w:rsidRPr="00B30D08">
              <w:rPr>
                <w:rFonts w:ascii="Arial" w:eastAsia="Times New Roman" w:hAnsi="Arial" w:cs="Arial"/>
                <w:color w:val="000000"/>
                <w:lang w:eastAsia="fi-FI"/>
              </w:rPr>
              <w:t>6,68</w:t>
            </w:r>
          </w:p>
        </w:tc>
        <w:tc>
          <w:tcPr>
            <w:tcW w:w="834" w:type="pct"/>
            <w:noWrap/>
            <w:hideMark/>
          </w:tcPr>
          <w:p w14:paraId="725F5139" w14:textId="77777777" w:rsidR="001A22F7" w:rsidRPr="00B30D08" w:rsidRDefault="001A22F7" w:rsidP="002D6673">
            <w:pPr>
              <w:jc w:val="right"/>
              <w:rPr>
                <w:rFonts w:ascii="Arial" w:eastAsia="Times New Roman" w:hAnsi="Arial" w:cs="Arial"/>
                <w:color w:val="000000"/>
                <w:lang w:eastAsia="fi-FI"/>
              </w:rPr>
            </w:pPr>
            <w:r w:rsidRPr="00B30D08">
              <w:rPr>
                <w:rFonts w:ascii="Arial" w:eastAsia="Times New Roman" w:hAnsi="Arial" w:cs="Arial"/>
                <w:color w:val="000000"/>
                <w:lang w:eastAsia="fi-FI"/>
              </w:rPr>
              <w:t>0,086</w:t>
            </w:r>
          </w:p>
        </w:tc>
        <w:tc>
          <w:tcPr>
            <w:tcW w:w="833" w:type="pct"/>
            <w:noWrap/>
            <w:hideMark/>
          </w:tcPr>
          <w:p w14:paraId="4DBBF07E" w14:textId="77777777" w:rsidR="001A22F7" w:rsidRPr="00B30D08" w:rsidRDefault="001A22F7" w:rsidP="002D6673">
            <w:pPr>
              <w:jc w:val="right"/>
              <w:rPr>
                <w:rFonts w:ascii="Arial" w:eastAsia="Times New Roman" w:hAnsi="Arial" w:cs="Arial"/>
                <w:color w:val="000000"/>
                <w:lang w:eastAsia="fi-FI"/>
              </w:rPr>
            </w:pPr>
            <w:r w:rsidRPr="00B30D08">
              <w:rPr>
                <w:rFonts w:ascii="Arial" w:eastAsia="Times New Roman" w:hAnsi="Arial" w:cs="Arial"/>
                <w:color w:val="000000"/>
                <w:lang w:eastAsia="fi-FI"/>
              </w:rPr>
              <w:t>572</w:t>
            </w:r>
          </w:p>
        </w:tc>
        <w:tc>
          <w:tcPr>
            <w:tcW w:w="834" w:type="pct"/>
            <w:noWrap/>
            <w:hideMark/>
          </w:tcPr>
          <w:p w14:paraId="3E05E41F" w14:textId="77777777" w:rsidR="001A22F7" w:rsidRPr="00B30D08" w:rsidRDefault="001A22F7" w:rsidP="002D6673">
            <w:pPr>
              <w:jc w:val="right"/>
              <w:rPr>
                <w:rFonts w:ascii="Arial" w:eastAsia="Times New Roman" w:hAnsi="Arial" w:cs="Arial"/>
                <w:color w:val="000000"/>
                <w:lang w:eastAsia="fi-FI"/>
              </w:rPr>
            </w:pPr>
            <w:r w:rsidRPr="00B30D08">
              <w:rPr>
                <w:rFonts w:ascii="Arial" w:eastAsia="Times New Roman" w:hAnsi="Arial" w:cs="Arial"/>
                <w:color w:val="000000"/>
                <w:lang w:eastAsia="fi-FI"/>
              </w:rPr>
              <w:t>1,5</w:t>
            </w:r>
          </w:p>
        </w:tc>
        <w:tc>
          <w:tcPr>
            <w:tcW w:w="834" w:type="pct"/>
            <w:noWrap/>
            <w:hideMark/>
          </w:tcPr>
          <w:p w14:paraId="030D44A5" w14:textId="77777777" w:rsidR="001A22F7" w:rsidRPr="00B30D08" w:rsidRDefault="001A22F7" w:rsidP="002D6673">
            <w:pPr>
              <w:jc w:val="right"/>
              <w:rPr>
                <w:rFonts w:ascii="Arial" w:eastAsia="Times New Roman" w:hAnsi="Arial" w:cs="Arial"/>
                <w:color w:val="000000"/>
                <w:lang w:eastAsia="fi-FI"/>
              </w:rPr>
            </w:pPr>
            <w:r w:rsidRPr="00B30D08">
              <w:rPr>
                <w:rFonts w:ascii="Arial" w:eastAsia="Times New Roman" w:hAnsi="Arial" w:cs="Arial"/>
                <w:color w:val="000000"/>
                <w:lang w:eastAsia="fi-FI"/>
              </w:rPr>
              <w:t>858</w:t>
            </w:r>
          </w:p>
        </w:tc>
      </w:tr>
      <w:tr w:rsidR="001A22F7" w:rsidRPr="00B30D08" w14:paraId="236EA3D0" w14:textId="77777777" w:rsidTr="002D6673">
        <w:trPr>
          <w:trHeight w:val="290"/>
        </w:trPr>
        <w:tc>
          <w:tcPr>
            <w:tcW w:w="833" w:type="pct"/>
            <w:noWrap/>
            <w:hideMark/>
          </w:tcPr>
          <w:p w14:paraId="70F52964" w14:textId="77777777" w:rsidR="001A22F7" w:rsidRPr="00B30D08" w:rsidRDefault="001A22F7" w:rsidP="002D6673">
            <w:pPr>
              <w:rPr>
                <w:rFonts w:ascii="Arial" w:eastAsia="Times New Roman" w:hAnsi="Arial" w:cs="Arial"/>
                <w:color w:val="000000"/>
                <w:lang w:eastAsia="fi-FI"/>
              </w:rPr>
            </w:pPr>
            <w:r w:rsidRPr="00B30D08">
              <w:rPr>
                <w:rFonts w:ascii="Arial" w:eastAsia="Times New Roman" w:hAnsi="Arial" w:cs="Arial"/>
                <w:color w:val="000000"/>
                <w:lang w:eastAsia="fi-FI"/>
              </w:rPr>
              <w:t>Yhdystiet</w:t>
            </w:r>
          </w:p>
        </w:tc>
        <w:tc>
          <w:tcPr>
            <w:tcW w:w="834" w:type="pct"/>
            <w:noWrap/>
            <w:hideMark/>
          </w:tcPr>
          <w:p w14:paraId="0841CAFB" w14:textId="77777777" w:rsidR="001A22F7" w:rsidRPr="00B30D08" w:rsidRDefault="001A22F7" w:rsidP="002D6673">
            <w:pPr>
              <w:jc w:val="right"/>
              <w:rPr>
                <w:rFonts w:ascii="Arial" w:eastAsia="Times New Roman" w:hAnsi="Arial" w:cs="Arial"/>
                <w:color w:val="000000"/>
                <w:lang w:eastAsia="fi-FI"/>
              </w:rPr>
            </w:pPr>
            <w:r w:rsidRPr="00B30D08">
              <w:rPr>
                <w:rFonts w:ascii="Arial" w:eastAsia="Times New Roman" w:hAnsi="Arial" w:cs="Arial"/>
                <w:color w:val="000000"/>
                <w:lang w:eastAsia="fi-FI"/>
              </w:rPr>
              <w:t>6,74</w:t>
            </w:r>
          </w:p>
        </w:tc>
        <w:tc>
          <w:tcPr>
            <w:tcW w:w="834" w:type="pct"/>
            <w:noWrap/>
            <w:hideMark/>
          </w:tcPr>
          <w:p w14:paraId="5F14B727" w14:textId="77777777" w:rsidR="001A22F7" w:rsidRPr="00B30D08" w:rsidRDefault="001A22F7" w:rsidP="002D6673">
            <w:pPr>
              <w:jc w:val="right"/>
              <w:rPr>
                <w:rFonts w:ascii="Arial" w:eastAsia="Times New Roman" w:hAnsi="Arial" w:cs="Arial"/>
                <w:color w:val="000000"/>
                <w:lang w:eastAsia="fi-FI"/>
              </w:rPr>
            </w:pPr>
            <w:r w:rsidRPr="00B30D08">
              <w:rPr>
                <w:rFonts w:ascii="Arial" w:eastAsia="Times New Roman" w:hAnsi="Arial" w:cs="Arial"/>
                <w:color w:val="000000"/>
                <w:lang w:eastAsia="fi-FI"/>
              </w:rPr>
              <w:t>0,100</w:t>
            </w:r>
          </w:p>
        </w:tc>
        <w:tc>
          <w:tcPr>
            <w:tcW w:w="833" w:type="pct"/>
            <w:noWrap/>
            <w:hideMark/>
          </w:tcPr>
          <w:p w14:paraId="38C3474F" w14:textId="77777777" w:rsidR="001A22F7" w:rsidRPr="00B30D08" w:rsidRDefault="001A22F7" w:rsidP="002D6673">
            <w:pPr>
              <w:jc w:val="right"/>
              <w:rPr>
                <w:rFonts w:ascii="Arial" w:eastAsia="Times New Roman" w:hAnsi="Arial" w:cs="Arial"/>
                <w:color w:val="000000"/>
                <w:lang w:eastAsia="fi-FI"/>
              </w:rPr>
            </w:pPr>
            <w:r w:rsidRPr="00B30D08">
              <w:rPr>
                <w:rFonts w:ascii="Arial" w:eastAsia="Times New Roman" w:hAnsi="Arial" w:cs="Arial"/>
                <w:color w:val="000000"/>
                <w:lang w:eastAsia="fi-FI"/>
              </w:rPr>
              <w:t>675</w:t>
            </w:r>
          </w:p>
        </w:tc>
        <w:tc>
          <w:tcPr>
            <w:tcW w:w="834" w:type="pct"/>
            <w:noWrap/>
            <w:hideMark/>
          </w:tcPr>
          <w:p w14:paraId="36936A02" w14:textId="77777777" w:rsidR="001A22F7" w:rsidRPr="00B30D08" w:rsidRDefault="001A22F7" w:rsidP="002D6673">
            <w:pPr>
              <w:jc w:val="right"/>
              <w:rPr>
                <w:rFonts w:ascii="Arial" w:eastAsia="Times New Roman" w:hAnsi="Arial" w:cs="Arial"/>
                <w:color w:val="000000"/>
                <w:lang w:eastAsia="fi-FI"/>
              </w:rPr>
            </w:pPr>
            <w:r w:rsidRPr="00B30D08">
              <w:rPr>
                <w:rFonts w:ascii="Arial" w:eastAsia="Times New Roman" w:hAnsi="Arial" w:cs="Arial"/>
                <w:color w:val="000000"/>
                <w:lang w:eastAsia="fi-FI"/>
              </w:rPr>
              <w:t>1,5</w:t>
            </w:r>
          </w:p>
        </w:tc>
        <w:tc>
          <w:tcPr>
            <w:tcW w:w="834" w:type="pct"/>
            <w:noWrap/>
            <w:hideMark/>
          </w:tcPr>
          <w:p w14:paraId="50568D11" w14:textId="77777777" w:rsidR="001A22F7" w:rsidRPr="00B30D08" w:rsidRDefault="001A22F7" w:rsidP="002D6673">
            <w:pPr>
              <w:jc w:val="right"/>
              <w:rPr>
                <w:rFonts w:ascii="Arial" w:eastAsia="Times New Roman" w:hAnsi="Arial" w:cs="Arial"/>
                <w:color w:val="000000"/>
                <w:lang w:eastAsia="fi-FI"/>
              </w:rPr>
            </w:pPr>
            <w:r w:rsidRPr="00B30D08">
              <w:rPr>
                <w:rFonts w:ascii="Arial" w:eastAsia="Times New Roman" w:hAnsi="Arial" w:cs="Arial"/>
                <w:color w:val="000000"/>
                <w:lang w:eastAsia="fi-FI"/>
              </w:rPr>
              <w:t>1013</w:t>
            </w:r>
          </w:p>
        </w:tc>
      </w:tr>
    </w:tbl>
    <w:p w14:paraId="668F25D9" w14:textId="77777777" w:rsidR="001A22F7" w:rsidRDefault="001A22F7" w:rsidP="001A22F7">
      <w:pPr>
        <w:tabs>
          <w:tab w:val="left" w:pos="2590"/>
        </w:tabs>
        <w:rPr>
          <w:rFonts w:ascii="Arial" w:hAnsi="Arial" w:cs="Arial"/>
          <w:i/>
          <w:sz w:val="24"/>
        </w:rPr>
      </w:pPr>
    </w:p>
    <w:p w14:paraId="1CABD405" w14:textId="77777777" w:rsidR="001A22F7" w:rsidRPr="00634358" w:rsidRDefault="001A22F7" w:rsidP="001A22F7">
      <w:pPr>
        <w:tabs>
          <w:tab w:val="left" w:pos="2590"/>
        </w:tabs>
        <w:rPr>
          <w:rFonts w:ascii="Arial" w:hAnsi="Arial" w:cs="Arial"/>
          <w:i/>
          <w:sz w:val="24"/>
        </w:rPr>
      </w:pPr>
      <w:r w:rsidRPr="00634358">
        <w:rPr>
          <w:rFonts w:ascii="Arial" w:hAnsi="Arial" w:cs="Arial"/>
          <w:i/>
          <w:sz w:val="24"/>
        </w:rPr>
        <w:t>Kiviaineksen määrän laskeminen</w:t>
      </w:r>
    </w:p>
    <w:p w14:paraId="06F183A9" w14:textId="77777777" w:rsidR="001A22F7" w:rsidRDefault="001A22F7" w:rsidP="001A22F7">
      <w:pPr>
        <w:tabs>
          <w:tab w:val="left" w:pos="2590"/>
        </w:tabs>
        <w:jc w:val="both"/>
        <w:rPr>
          <w:rFonts w:ascii="Arial" w:hAnsi="Arial" w:cs="Arial"/>
          <w:sz w:val="24"/>
        </w:rPr>
      </w:pPr>
      <w:r>
        <w:rPr>
          <w:rFonts w:ascii="Arial" w:hAnsi="Arial" w:cs="Arial"/>
          <w:sz w:val="24"/>
        </w:rPr>
        <w:t>Päällysteen alapuolisten kerrosten paksuudesta ei ole saatavilla paikkatietoaineistoja Mikkelistä. Kerrostietoja voisi löytyä tiesuunnitelmista. Kerrospaksuuksia on myös selvitetty maatutkalla joillakin tieosuuksilla Suomessa. Kiviaineksen määrän laskemisessa hyödynnettiin Liikenneviraston julkaisussa (Virtala 2016) laskettuja keskiarvoja, jotka perustuvan valituilta tieosuuksilta maatutkalla määritettyihin keskiarvoihin (taulukko 2). Tieosuudet sijaitsevat Kaakkois-Suomessa. Kiviainesmateriaalien määrän arvioinnissa käytettiin kerrospaksuutena pohjamaan pinnan ja päällystekerroksen erotusta. Kantateille käytettiin samaa kerrospaksuutta kuin valtateille, koska taulukon 2 aineistossa ei ole kantateitä edustettuna.</w:t>
      </w:r>
    </w:p>
    <w:p w14:paraId="7A549493" w14:textId="77777777" w:rsidR="001A22F7" w:rsidRDefault="001A22F7" w:rsidP="001A22F7">
      <w:pPr>
        <w:tabs>
          <w:tab w:val="left" w:pos="2590"/>
        </w:tabs>
        <w:rPr>
          <w:rFonts w:ascii="Arial" w:hAnsi="Arial" w:cs="Arial"/>
          <w:b/>
          <w:sz w:val="20"/>
        </w:rPr>
      </w:pPr>
    </w:p>
    <w:p w14:paraId="19D4D5B9" w14:textId="77777777" w:rsidR="001A22F7" w:rsidRPr="00AA3C1B" w:rsidRDefault="001A22F7" w:rsidP="001A22F7">
      <w:pPr>
        <w:tabs>
          <w:tab w:val="left" w:pos="2590"/>
        </w:tabs>
        <w:rPr>
          <w:rFonts w:ascii="Arial" w:hAnsi="Arial" w:cs="Arial"/>
          <w:sz w:val="20"/>
        </w:rPr>
      </w:pPr>
      <w:r w:rsidRPr="00AA3C1B">
        <w:rPr>
          <w:rFonts w:ascii="Arial" w:hAnsi="Arial" w:cs="Arial"/>
          <w:b/>
          <w:sz w:val="20"/>
        </w:rPr>
        <w:t xml:space="preserve">Taulukko 2. </w:t>
      </w:r>
      <w:r w:rsidRPr="00AA3C1B">
        <w:rPr>
          <w:rFonts w:ascii="Arial" w:hAnsi="Arial" w:cs="Arial"/>
          <w:sz w:val="20"/>
        </w:rPr>
        <w:t>Kerrospaksuuksien keskiarvot ja hajonnat tieosittain (m). (Virtala 2016)</w:t>
      </w:r>
    </w:p>
    <w:p w14:paraId="1517D9AD" w14:textId="77777777" w:rsidR="001A22F7" w:rsidRDefault="001A22F7" w:rsidP="001A22F7">
      <w:pPr>
        <w:tabs>
          <w:tab w:val="left" w:pos="2590"/>
        </w:tabs>
        <w:rPr>
          <w:rFonts w:ascii="Arial" w:hAnsi="Arial" w:cs="Arial"/>
          <w:sz w:val="24"/>
        </w:rPr>
      </w:pPr>
      <w:r>
        <w:rPr>
          <w:noProof/>
          <w:lang w:eastAsia="fi-FI"/>
        </w:rPr>
        <w:drawing>
          <wp:inline distT="0" distB="0" distL="0" distR="0" wp14:anchorId="48D22A8A" wp14:editId="41B6D9DB">
            <wp:extent cx="6120130" cy="1986915"/>
            <wp:effectExtent l="0" t="0" r="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12817"/>
                    <a:stretch/>
                  </pic:blipFill>
                  <pic:spPr bwMode="auto">
                    <a:xfrm>
                      <a:off x="0" y="0"/>
                      <a:ext cx="6120130" cy="1986915"/>
                    </a:xfrm>
                    <a:prstGeom prst="rect">
                      <a:avLst/>
                    </a:prstGeom>
                    <a:ln>
                      <a:noFill/>
                    </a:ln>
                    <a:extLst>
                      <a:ext uri="{53640926-AAD7-44D8-BBD7-CCE9431645EC}">
                        <a14:shadowObscured xmlns:a14="http://schemas.microsoft.com/office/drawing/2010/main"/>
                      </a:ext>
                    </a:extLst>
                  </pic:spPr>
                </pic:pic>
              </a:graphicData>
            </a:graphic>
          </wp:inline>
        </w:drawing>
      </w:r>
    </w:p>
    <w:p w14:paraId="4F066F8E" w14:textId="77777777" w:rsidR="001A22F7" w:rsidRDefault="001A22F7" w:rsidP="001A22F7">
      <w:pPr>
        <w:tabs>
          <w:tab w:val="left" w:pos="2590"/>
        </w:tabs>
        <w:jc w:val="both"/>
        <w:rPr>
          <w:rFonts w:ascii="Arial" w:hAnsi="Arial" w:cs="Arial"/>
          <w:sz w:val="24"/>
        </w:rPr>
      </w:pPr>
      <w:r>
        <w:rPr>
          <w:rFonts w:ascii="Arial" w:hAnsi="Arial" w:cs="Arial"/>
          <w:sz w:val="24"/>
        </w:rPr>
        <w:t>Tien leveys arvioitiin hyödyntämällä Väyläviraston TL136 ajoradan leveys-paikkatietoaineistoa. Keskimääräinen ajoradan leveys tietyypeittäin Mikkelissä on esitetty taulukossa 3. Ajoradan leveyden lisäksi kiviainesten määrään vaikuttavat pientareen leveys sekä luiskan leveys. Pientareen leveys saatiin TL163-paikkatietoaineistosta (Taulukko 3). Luiskan leveydestä ei ole olemassa paikkatietoaineistoa. Tässä arvioinnissa käytettiin luiskan kaltevuutta 1:3. Tien rakennekerrokset ulottuvat luiskaan (Kuva 3). Kiviaineksen tiheystietona käytettiin karkeaa arviota 2 t/m</w:t>
      </w:r>
      <w:r w:rsidRPr="005806B4">
        <w:rPr>
          <w:rFonts w:ascii="Arial" w:hAnsi="Arial" w:cs="Arial"/>
          <w:sz w:val="24"/>
          <w:vertAlign w:val="superscript"/>
        </w:rPr>
        <w:t>3</w:t>
      </w:r>
      <w:r>
        <w:rPr>
          <w:rFonts w:ascii="Arial" w:hAnsi="Arial" w:cs="Arial"/>
          <w:sz w:val="24"/>
        </w:rPr>
        <w:t>. Kiviainekset voivat olla kivimurskaa, soraa, hiekkaa, betonimursketta jne. joiden tiheydet vaihtelevat noin välillä 1,5-2,5 t/m</w:t>
      </w:r>
      <w:r w:rsidRPr="00CC1DB9">
        <w:rPr>
          <w:rFonts w:ascii="Arial" w:hAnsi="Arial" w:cs="Arial"/>
          <w:sz w:val="24"/>
          <w:vertAlign w:val="superscript"/>
        </w:rPr>
        <w:t>3</w:t>
      </w:r>
      <w:r>
        <w:rPr>
          <w:rFonts w:ascii="Arial" w:hAnsi="Arial" w:cs="Arial"/>
          <w:sz w:val="24"/>
        </w:rPr>
        <w:t xml:space="preserve"> (Eurostat 2018). Kilometrikohtaiset tonnimäärät on laskettu taulukossa 3. Määrät ovat suurempia kuin Saksassa arvioidut arvot (Taulukko 4, Eurostat 2018). Suomessa rakennekerrosten paksuudet voivat olla suurempia </w:t>
      </w:r>
      <w:proofErr w:type="gramStart"/>
      <w:r>
        <w:rPr>
          <w:rFonts w:ascii="Arial" w:hAnsi="Arial" w:cs="Arial"/>
          <w:sz w:val="24"/>
        </w:rPr>
        <w:t>routamitoituksesta johtuen</w:t>
      </w:r>
      <w:proofErr w:type="gramEnd"/>
      <w:r>
        <w:rPr>
          <w:rFonts w:ascii="Arial" w:hAnsi="Arial" w:cs="Arial"/>
          <w:sz w:val="24"/>
        </w:rPr>
        <w:t xml:space="preserve">. Lisäksi saksalaiset arvot ovat </w:t>
      </w:r>
      <w:r>
        <w:rPr>
          <w:rFonts w:ascii="Arial" w:hAnsi="Arial" w:cs="Arial"/>
          <w:sz w:val="24"/>
        </w:rPr>
        <w:lastRenderedPageBreak/>
        <w:t>soralle ja hiekalle. Tässä laskelmassa on huomioitu, että teiden rakenteissa käytetään myös kivimursketta ja –louhetta, joiden tiheys on suurempi.</w:t>
      </w:r>
    </w:p>
    <w:p w14:paraId="44F26CC8" w14:textId="77777777" w:rsidR="001A22F7" w:rsidRDefault="001A22F7" w:rsidP="001A22F7">
      <w:pPr>
        <w:tabs>
          <w:tab w:val="left" w:pos="2590"/>
        </w:tabs>
        <w:jc w:val="both"/>
        <w:rPr>
          <w:rFonts w:ascii="Arial" w:hAnsi="Arial" w:cs="Arial"/>
          <w:sz w:val="24"/>
        </w:rPr>
      </w:pPr>
      <w:r>
        <w:rPr>
          <w:noProof/>
          <w:lang w:eastAsia="fi-FI"/>
        </w:rPr>
        <w:drawing>
          <wp:inline distT="0" distB="0" distL="0" distR="0" wp14:anchorId="1ED08BB7" wp14:editId="418CA733">
            <wp:extent cx="3800475" cy="6286500"/>
            <wp:effectExtent l="0" t="0" r="9525"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00475" cy="6286500"/>
                    </a:xfrm>
                    <a:prstGeom prst="rect">
                      <a:avLst/>
                    </a:prstGeom>
                  </pic:spPr>
                </pic:pic>
              </a:graphicData>
            </a:graphic>
          </wp:inline>
        </w:drawing>
      </w:r>
    </w:p>
    <w:p w14:paraId="23441876" w14:textId="77777777" w:rsidR="001A22F7" w:rsidRPr="00E45789" w:rsidRDefault="001A22F7" w:rsidP="001A22F7">
      <w:pPr>
        <w:tabs>
          <w:tab w:val="left" w:pos="2590"/>
        </w:tabs>
        <w:jc w:val="both"/>
        <w:rPr>
          <w:rFonts w:ascii="Arial" w:hAnsi="Arial" w:cs="Arial"/>
          <w:sz w:val="20"/>
        </w:rPr>
      </w:pPr>
      <w:r w:rsidRPr="00E45789">
        <w:rPr>
          <w:rFonts w:ascii="Arial" w:hAnsi="Arial" w:cs="Arial"/>
          <w:b/>
          <w:sz w:val="20"/>
        </w:rPr>
        <w:t>Kuva 2</w:t>
      </w:r>
      <w:r>
        <w:rPr>
          <w:rFonts w:ascii="Arial" w:hAnsi="Arial" w:cs="Arial"/>
          <w:b/>
          <w:sz w:val="20"/>
        </w:rPr>
        <w:t>.</w:t>
      </w:r>
      <w:r w:rsidRPr="00E45789">
        <w:rPr>
          <w:rFonts w:ascii="Arial" w:hAnsi="Arial" w:cs="Arial"/>
          <w:sz w:val="20"/>
        </w:rPr>
        <w:t xml:space="preserve"> Tierakenteen luiskakaltevuuksia. Lähde: Liikennevirasto 2018.</w:t>
      </w:r>
    </w:p>
    <w:p w14:paraId="066B3E9D" w14:textId="77777777" w:rsidR="001A22F7" w:rsidRDefault="001A22F7" w:rsidP="001A22F7">
      <w:pPr>
        <w:tabs>
          <w:tab w:val="left" w:pos="2590"/>
        </w:tabs>
        <w:jc w:val="both"/>
        <w:rPr>
          <w:rFonts w:ascii="Arial" w:hAnsi="Arial" w:cs="Arial"/>
          <w:sz w:val="24"/>
        </w:rPr>
      </w:pPr>
    </w:p>
    <w:p w14:paraId="5B4DB50C" w14:textId="77777777" w:rsidR="001A22F7" w:rsidRDefault="001A22F7" w:rsidP="001A22F7">
      <w:pPr>
        <w:rPr>
          <w:rFonts w:ascii="Arial" w:hAnsi="Arial" w:cs="Arial"/>
          <w:b/>
          <w:sz w:val="20"/>
        </w:rPr>
      </w:pPr>
      <w:r>
        <w:rPr>
          <w:rFonts w:ascii="Arial" w:hAnsi="Arial" w:cs="Arial"/>
          <w:b/>
          <w:sz w:val="20"/>
        </w:rPr>
        <w:br w:type="page"/>
      </w:r>
    </w:p>
    <w:p w14:paraId="4F27670C" w14:textId="77777777" w:rsidR="001A22F7" w:rsidRPr="008E058C" w:rsidRDefault="001A22F7" w:rsidP="001A22F7">
      <w:pPr>
        <w:tabs>
          <w:tab w:val="left" w:pos="2590"/>
        </w:tabs>
        <w:jc w:val="both"/>
        <w:rPr>
          <w:rFonts w:ascii="Arial" w:hAnsi="Arial" w:cs="Arial"/>
          <w:sz w:val="20"/>
        </w:rPr>
      </w:pPr>
      <w:r w:rsidRPr="005806B4">
        <w:rPr>
          <w:rFonts w:ascii="Arial" w:hAnsi="Arial" w:cs="Arial"/>
          <w:b/>
          <w:sz w:val="20"/>
        </w:rPr>
        <w:lastRenderedPageBreak/>
        <w:t xml:space="preserve">Taulukko 3. </w:t>
      </w:r>
      <w:r>
        <w:rPr>
          <w:rFonts w:ascii="Arial" w:hAnsi="Arial" w:cs="Arial"/>
          <w:sz w:val="20"/>
        </w:rPr>
        <w:t>Tierakenteiden kiviaineksen</w:t>
      </w:r>
      <w:r w:rsidRPr="008E058C">
        <w:rPr>
          <w:rFonts w:ascii="Arial" w:hAnsi="Arial" w:cs="Arial"/>
          <w:sz w:val="20"/>
        </w:rPr>
        <w:t xml:space="preserve"> määrän arvioimisessa käytetyt tiedot. </w:t>
      </w:r>
      <w:r>
        <w:rPr>
          <w:rFonts w:ascii="Arial" w:hAnsi="Arial" w:cs="Arial"/>
          <w:sz w:val="20"/>
        </w:rPr>
        <w:t>Keskimääräinen ajoradan leveys</w:t>
      </w:r>
      <w:r w:rsidRPr="008E058C">
        <w:rPr>
          <w:rFonts w:ascii="Arial" w:hAnsi="Arial" w:cs="Arial"/>
          <w:sz w:val="20"/>
        </w:rPr>
        <w:t xml:space="preserve"> ja </w:t>
      </w:r>
      <w:r>
        <w:rPr>
          <w:rFonts w:ascii="Arial" w:hAnsi="Arial" w:cs="Arial"/>
          <w:sz w:val="20"/>
        </w:rPr>
        <w:t>pientareen leveys</w:t>
      </w:r>
      <w:r w:rsidRPr="008E058C">
        <w:rPr>
          <w:rFonts w:ascii="Arial" w:hAnsi="Arial" w:cs="Arial"/>
          <w:sz w:val="20"/>
        </w:rPr>
        <w:t xml:space="preserve"> Mikkelissä tietyypeittäin</w:t>
      </w:r>
      <w:r>
        <w:rPr>
          <w:rFonts w:ascii="Arial" w:hAnsi="Arial" w:cs="Arial"/>
          <w:sz w:val="20"/>
        </w:rPr>
        <w:t xml:space="preserve"> on saatu Tierekisterin avoimista paikkatietoaineistoista</w:t>
      </w:r>
      <w:r w:rsidRPr="008E058C">
        <w:rPr>
          <w:rFonts w:ascii="Arial" w:hAnsi="Arial" w:cs="Arial"/>
          <w:sz w:val="20"/>
        </w:rPr>
        <w:t xml:space="preserve"> (Väylävirasto</w:t>
      </w:r>
      <w:r>
        <w:rPr>
          <w:rFonts w:ascii="Arial" w:hAnsi="Arial" w:cs="Arial"/>
          <w:sz w:val="20"/>
        </w:rPr>
        <w:t>, Tierekisterin tietolajit TL136</w:t>
      </w:r>
      <w:r w:rsidRPr="008E058C">
        <w:rPr>
          <w:rFonts w:ascii="Arial" w:hAnsi="Arial" w:cs="Arial"/>
          <w:sz w:val="20"/>
        </w:rPr>
        <w:t xml:space="preserve"> ja TL</w:t>
      </w:r>
      <w:r>
        <w:rPr>
          <w:rFonts w:ascii="Arial" w:hAnsi="Arial" w:cs="Arial"/>
          <w:sz w:val="20"/>
        </w:rPr>
        <w:t>163</w:t>
      </w:r>
      <w:r w:rsidRPr="008E058C">
        <w:rPr>
          <w:rFonts w:ascii="Arial" w:hAnsi="Arial" w:cs="Arial"/>
          <w:sz w:val="20"/>
        </w:rPr>
        <w:t>)</w:t>
      </w:r>
      <w:r>
        <w:rPr>
          <w:rFonts w:ascii="Arial" w:hAnsi="Arial" w:cs="Arial"/>
          <w:sz w:val="20"/>
        </w:rPr>
        <w:t>.</w:t>
      </w:r>
      <w:r w:rsidRPr="008E058C">
        <w:rPr>
          <w:rFonts w:ascii="Arial" w:hAnsi="Arial" w:cs="Arial"/>
          <w:sz w:val="20"/>
        </w:rPr>
        <w:t xml:space="preserve"> </w:t>
      </w:r>
      <w:r>
        <w:rPr>
          <w:rFonts w:ascii="Arial" w:hAnsi="Arial" w:cs="Arial"/>
          <w:sz w:val="20"/>
        </w:rPr>
        <w:t>Kiviaineksen paksuudet ovat keskiarvoja maatutkamittauksista Kaakkois-Suomen alueelta (Virtala 2016). N</w:t>
      </w:r>
      <w:r w:rsidRPr="008E058C">
        <w:rPr>
          <w:rFonts w:ascii="Arial" w:hAnsi="Arial" w:cs="Arial"/>
          <w:sz w:val="20"/>
        </w:rPr>
        <w:t xml:space="preserve">äiden tietojen perusteella </w:t>
      </w:r>
      <w:r>
        <w:rPr>
          <w:rFonts w:ascii="Arial" w:hAnsi="Arial" w:cs="Arial"/>
          <w:sz w:val="20"/>
        </w:rPr>
        <w:t xml:space="preserve">on </w:t>
      </w:r>
      <w:r w:rsidRPr="008E058C">
        <w:rPr>
          <w:rFonts w:ascii="Arial" w:hAnsi="Arial" w:cs="Arial"/>
          <w:sz w:val="20"/>
        </w:rPr>
        <w:t>laskettu kilometrikohtainen tilavuus ja massa.</w:t>
      </w:r>
      <w:r>
        <w:rPr>
          <w:rFonts w:ascii="Arial" w:hAnsi="Arial" w:cs="Arial"/>
          <w:sz w:val="20"/>
        </w:rPr>
        <w:t xml:space="preserve"> Luiskan kiviaineksen määrä on laskettu käyttämällä luiskan kaltevuutta 1:3.</w:t>
      </w:r>
      <w:r w:rsidRPr="008E058C">
        <w:rPr>
          <w:rFonts w:ascii="Arial" w:hAnsi="Arial" w:cs="Arial"/>
          <w:sz w:val="20"/>
        </w:rPr>
        <w:t xml:space="preserve"> </w:t>
      </w:r>
      <w:r>
        <w:rPr>
          <w:rFonts w:ascii="Arial" w:hAnsi="Arial" w:cs="Arial"/>
          <w:sz w:val="20"/>
        </w:rPr>
        <w:t>Kiviaineksen tiheydeksi on arvioitu 2 t/m</w:t>
      </w:r>
      <w:r w:rsidRPr="005806B4">
        <w:rPr>
          <w:rFonts w:ascii="Arial" w:hAnsi="Arial" w:cs="Arial"/>
          <w:sz w:val="20"/>
          <w:vertAlign w:val="superscript"/>
        </w:rPr>
        <w:t>3</w:t>
      </w:r>
      <w:r>
        <w:rPr>
          <w:rFonts w:ascii="Arial" w:hAnsi="Arial" w:cs="Arial"/>
          <w:sz w:val="20"/>
        </w:rPr>
        <w:t>.</w:t>
      </w:r>
    </w:p>
    <w:tbl>
      <w:tblPr>
        <w:tblStyle w:val="TableGrid"/>
        <w:tblW w:w="5000" w:type="pct"/>
        <w:tblLayout w:type="fixed"/>
        <w:tblLook w:val="04A0" w:firstRow="1" w:lastRow="0" w:firstColumn="1" w:lastColumn="0" w:noHBand="0" w:noVBand="1"/>
      </w:tblPr>
      <w:tblGrid>
        <w:gridCol w:w="1203"/>
        <w:gridCol w:w="1203"/>
        <w:gridCol w:w="1203"/>
        <w:gridCol w:w="1203"/>
        <w:gridCol w:w="1204"/>
        <w:gridCol w:w="1204"/>
        <w:gridCol w:w="1204"/>
        <w:gridCol w:w="1204"/>
      </w:tblGrid>
      <w:tr w:rsidR="001A22F7" w:rsidRPr="00CC1DB9" w14:paraId="225B67A1" w14:textId="77777777" w:rsidTr="002D6673">
        <w:trPr>
          <w:trHeight w:val="290"/>
        </w:trPr>
        <w:tc>
          <w:tcPr>
            <w:tcW w:w="625" w:type="pct"/>
            <w:noWrap/>
            <w:hideMark/>
          </w:tcPr>
          <w:p w14:paraId="35A92175" w14:textId="77777777" w:rsidR="001A22F7" w:rsidRPr="009B35EC" w:rsidRDefault="001A22F7" w:rsidP="002D6673">
            <w:pPr>
              <w:rPr>
                <w:rFonts w:ascii="Arial" w:eastAsia="Times New Roman" w:hAnsi="Arial" w:cs="Arial"/>
                <w:sz w:val="18"/>
                <w:szCs w:val="24"/>
                <w:lang w:eastAsia="fi-FI"/>
              </w:rPr>
            </w:pPr>
          </w:p>
        </w:tc>
        <w:tc>
          <w:tcPr>
            <w:tcW w:w="625" w:type="pct"/>
            <w:noWrap/>
            <w:hideMark/>
          </w:tcPr>
          <w:p w14:paraId="34756723" w14:textId="77777777" w:rsidR="001A22F7" w:rsidRPr="009B35EC" w:rsidRDefault="001A22F7" w:rsidP="002D6673">
            <w:pPr>
              <w:rPr>
                <w:rFonts w:ascii="Arial" w:eastAsia="Times New Roman" w:hAnsi="Arial" w:cs="Arial"/>
                <w:color w:val="000000"/>
                <w:sz w:val="18"/>
                <w:lang w:eastAsia="fi-FI"/>
              </w:rPr>
            </w:pPr>
            <w:r w:rsidRPr="009B35EC">
              <w:rPr>
                <w:rFonts w:ascii="Arial" w:eastAsia="Times New Roman" w:hAnsi="Arial" w:cs="Arial"/>
                <w:color w:val="000000"/>
                <w:sz w:val="18"/>
                <w:lang w:eastAsia="fi-FI"/>
              </w:rPr>
              <w:t>Ajoradan leveys (m)</w:t>
            </w:r>
          </w:p>
        </w:tc>
        <w:tc>
          <w:tcPr>
            <w:tcW w:w="625" w:type="pct"/>
            <w:noWrap/>
            <w:hideMark/>
          </w:tcPr>
          <w:p w14:paraId="17027732" w14:textId="77777777" w:rsidR="001A22F7" w:rsidRPr="009B35EC" w:rsidRDefault="001A22F7" w:rsidP="002D6673">
            <w:pPr>
              <w:rPr>
                <w:rFonts w:ascii="Arial" w:eastAsia="Times New Roman" w:hAnsi="Arial" w:cs="Arial"/>
                <w:color w:val="000000"/>
                <w:sz w:val="18"/>
                <w:lang w:eastAsia="fi-FI"/>
              </w:rPr>
            </w:pPr>
            <w:r w:rsidRPr="009B35EC">
              <w:rPr>
                <w:rFonts w:ascii="Arial" w:eastAsia="Times New Roman" w:hAnsi="Arial" w:cs="Arial"/>
                <w:color w:val="000000"/>
                <w:sz w:val="18"/>
                <w:lang w:eastAsia="fi-FI"/>
              </w:rPr>
              <w:t>Pientareen leveys (m)</w:t>
            </w:r>
          </w:p>
        </w:tc>
        <w:tc>
          <w:tcPr>
            <w:tcW w:w="625" w:type="pct"/>
            <w:noWrap/>
            <w:hideMark/>
          </w:tcPr>
          <w:p w14:paraId="54A36598" w14:textId="77777777" w:rsidR="001A22F7" w:rsidRPr="009B35EC" w:rsidRDefault="001A22F7" w:rsidP="002D6673">
            <w:pPr>
              <w:rPr>
                <w:rFonts w:ascii="Arial" w:eastAsia="Times New Roman" w:hAnsi="Arial" w:cs="Arial"/>
                <w:color w:val="000000"/>
                <w:sz w:val="18"/>
                <w:lang w:eastAsia="fi-FI"/>
              </w:rPr>
            </w:pPr>
            <w:r w:rsidRPr="009B35EC">
              <w:rPr>
                <w:rFonts w:ascii="Arial" w:eastAsia="Times New Roman" w:hAnsi="Arial" w:cs="Arial"/>
                <w:color w:val="000000"/>
                <w:sz w:val="18"/>
                <w:lang w:eastAsia="fi-FI"/>
              </w:rPr>
              <w:t>Kivi</w:t>
            </w:r>
            <w:r>
              <w:rPr>
                <w:rFonts w:ascii="Arial" w:eastAsia="Times New Roman" w:hAnsi="Arial" w:cs="Arial"/>
                <w:color w:val="000000"/>
                <w:sz w:val="18"/>
                <w:lang w:eastAsia="fi-FI"/>
              </w:rPr>
              <w:t>-</w:t>
            </w:r>
            <w:r w:rsidRPr="009B35EC">
              <w:rPr>
                <w:rFonts w:ascii="Arial" w:eastAsia="Times New Roman" w:hAnsi="Arial" w:cs="Arial"/>
                <w:color w:val="000000"/>
                <w:sz w:val="18"/>
                <w:lang w:eastAsia="fi-FI"/>
              </w:rPr>
              <w:t>aineksen paksuus (m)</w:t>
            </w:r>
          </w:p>
        </w:tc>
        <w:tc>
          <w:tcPr>
            <w:tcW w:w="625" w:type="pct"/>
            <w:noWrap/>
            <w:hideMark/>
          </w:tcPr>
          <w:p w14:paraId="1B7D6D69" w14:textId="77777777" w:rsidR="001A22F7" w:rsidRPr="009B35EC" w:rsidRDefault="001A22F7" w:rsidP="002D6673">
            <w:pPr>
              <w:rPr>
                <w:rFonts w:ascii="Arial" w:eastAsia="Times New Roman" w:hAnsi="Arial" w:cs="Arial"/>
                <w:color w:val="000000"/>
                <w:sz w:val="18"/>
                <w:lang w:eastAsia="fi-FI"/>
              </w:rPr>
            </w:pPr>
            <w:r w:rsidRPr="00CC1DB9">
              <w:rPr>
                <w:rFonts w:ascii="Arial" w:eastAsia="Times New Roman" w:hAnsi="Arial" w:cs="Arial"/>
                <w:color w:val="000000"/>
                <w:sz w:val="18"/>
                <w:lang w:eastAsia="fi-FI"/>
              </w:rPr>
              <w:t>Kivi</w:t>
            </w:r>
            <w:r>
              <w:rPr>
                <w:rFonts w:ascii="Arial" w:eastAsia="Times New Roman" w:hAnsi="Arial" w:cs="Arial"/>
                <w:color w:val="000000"/>
                <w:sz w:val="18"/>
                <w:lang w:eastAsia="fi-FI"/>
              </w:rPr>
              <w:t>-</w:t>
            </w:r>
            <w:r w:rsidRPr="00CC1DB9">
              <w:rPr>
                <w:rFonts w:ascii="Arial" w:eastAsia="Times New Roman" w:hAnsi="Arial" w:cs="Arial"/>
                <w:color w:val="000000"/>
                <w:sz w:val="18"/>
                <w:lang w:eastAsia="fi-FI"/>
              </w:rPr>
              <w:t>aineksen määrä (</w:t>
            </w:r>
            <w:r w:rsidRPr="009B35EC">
              <w:rPr>
                <w:rFonts w:ascii="Arial" w:eastAsia="Times New Roman" w:hAnsi="Arial" w:cs="Arial"/>
                <w:color w:val="000000"/>
                <w:sz w:val="18"/>
                <w:lang w:eastAsia="fi-FI"/>
              </w:rPr>
              <w:t>m</w:t>
            </w:r>
            <w:r w:rsidRPr="009B35EC">
              <w:rPr>
                <w:rFonts w:ascii="Arial" w:eastAsia="Times New Roman" w:hAnsi="Arial" w:cs="Arial"/>
                <w:color w:val="000000"/>
                <w:sz w:val="18"/>
                <w:vertAlign w:val="superscript"/>
                <w:lang w:eastAsia="fi-FI"/>
              </w:rPr>
              <w:t>3</w:t>
            </w:r>
            <w:r>
              <w:rPr>
                <w:rFonts w:ascii="Arial" w:eastAsia="Times New Roman" w:hAnsi="Arial" w:cs="Arial"/>
                <w:color w:val="000000"/>
                <w:sz w:val="18"/>
                <w:lang w:eastAsia="fi-FI"/>
              </w:rPr>
              <w:t>/km</w:t>
            </w:r>
            <w:r w:rsidRPr="00CC1DB9">
              <w:rPr>
                <w:rFonts w:ascii="Arial" w:eastAsia="Times New Roman" w:hAnsi="Arial" w:cs="Arial"/>
                <w:color w:val="000000"/>
                <w:sz w:val="18"/>
                <w:lang w:eastAsia="fi-FI"/>
              </w:rPr>
              <w:t>)</w:t>
            </w:r>
          </w:p>
        </w:tc>
        <w:tc>
          <w:tcPr>
            <w:tcW w:w="625" w:type="pct"/>
            <w:noWrap/>
            <w:hideMark/>
          </w:tcPr>
          <w:p w14:paraId="35DB0BEB" w14:textId="77777777" w:rsidR="001A22F7" w:rsidRPr="009B35EC" w:rsidRDefault="001A22F7" w:rsidP="002D6673">
            <w:pPr>
              <w:rPr>
                <w:rFonts w:ascii="Arial" w:eastAsia="Times New Roman" w:hAnsi="Arial" w:cs="Arial"/>
                <w:color w:val="000000"/>
                <w:sz w:val="18"/>
                <w:lang w:eastAsia="fi-FI"/>
              </w:rPr>
            </w:pPr>
            <w:r w:rsidRPr="00CC1DB9">
              <w:rPr>
                <w:rFonts w:ascii="Arial" w:eastAsia="Times New Roman" w:hAnsi="Arial" w:cs="Arial"/>
                <w:color w:val="000000"/>
                <w:sz w:val="18"/>
                <w:lang w:eastAsia="fi-FI"/>
              </w:rPr>
              <w:t>Kivi</w:t>
            </w:r>
            <w:r>
              <w:rPr>
                <w:rFonts w:ascii="Arial" w:eastAsia="Times New Roman" w:hAnsi="Arial" w:cs="Arial"/>
                <w:color w:val="000000"/>
                <w:sz w:val="18"/>
                <w:lang w:eastAsia="fi-FI"/>
              </w:rPr>
              <w:t xml:space="preserve">- </w:t>
            </w:r>
            <w:r w:rsidRPr="00CC1DB9">
              <w:rPr>
                <w:rFonts w:ascii="Arial" w:eastAsia="Times New Roman" w:hAnsi="Arial" w:cs="Arial"/>
                <w:color w:val="000000"/>
                <w:sz w:val="18"/>
                <w:lang w:eastAsia="fi-FI"/>
              </w:rPr>
              <w:t xml:space="preserve">aineksen määrä luiskassa </w:t>
            </w:r>
            <w:r w:rsidRPr="009B35EC">
              <w:rPr>
                <w:rFonts w:ascii="Arial" w:eastAsia="Times New Roman" w:hAnsi="Arial" w:cs="Arial"/>
                <w:color w:val="000000"/>
                <w:sz w:val="18"/>
                <w:lang w:eastAsia="fi-FI"/>
              </w:rPr>
              <w:t>(m</w:t>
            </w:r>
            <w:r w:rsidRPr="009B35EC">
              <w:rPr>
                <w:rFonts w:ascii="Arial" w:eastAsia="Times New Roman" w:hAnsi="Arial" w:cs="Arial"/>
                <w:color w:val="000000"/>
                <w:sz w:val="18"/>
                <w:vertAlign w:val="superscript"/>
                <w:lang w:eastAsia="fi-FI"/>
              </w:rPr>
              <w:t>3</w:t>
            </w:r>
            <w:r>
              <w:rPr>
                <w:rFonts w:ascii="Arial" w:eastAsia="Times New Roman" w:hAnsi="Arial" w:cs="Arial"/>
                <w:color w:val="000000"/>
                <w:sz w:val="18"/>
                <w:lang w:eastAsia="fi-FI"/>
              </w:rPr>
              <w:t>/km</w:t>
            </w:r>
            <w:r w:rsidRPr="009B35EC">
              <w:rPr>
                <w:rFonts w:ascii="Arial" w:eastAsia="Times New Roman" w:hAnsi="Arial" w:cs="Arial"/>
                <w:color w:val="000000"/>
                <w:sz w:val="18"/>
                <w:lang w:eastAsia="fi-FI"/>
              </w:rPr>
              <w:t>)</w:t>
            </w:r>
          </w:p>
        </w:tc>
        <w:tc>
          <w:tcPr>
            <w:tcW w:w="625" w:type="pct"/>
            <w:noWrap/>
            <w:hideMark/>
          </w:tcPr>
          <w:p w14:paraId="2F6507BF" w14:textId="77777777" w:rsidR="001A22F7" w:rsidRPr="009B35EC" w:rsidRDefault="001A22F7" w:rsidP="002D6673">
            <w:pPr>
              <w:rPr>
                <w:rFonts w:ascii="Arial" w:eastAsia="Times New Roman" w:hAnsi="Arial" w:cs="Arial"/>
                <w:color w:val="000000"/>
                <w:sz w:val="18"/>
                <w:lang w:eastAsia="fi-FI"/>
              </w:rPr>
            </w:pPr>
            <w:r w:rsidRPr="00CC1DB9">
              <w:rPr>
                <w:rFonts w:ascii="Arial" w:eastAsia="Times New Roman" w:hAnsi="Arial" w:cs="Arial"/>
                <w:color w:val="000000"/>
                <w:sz w:val="18"/>
                <w:lang w:eastAsia="fi-FI"/>
              </w:rPr>
              <w:t>Kivi</w:t>
            </w:r>
            <w:r>
              <w:rPr>
                <w:rFonts w:ascii="Arial" w:eastAsia="Times New Roman" w:hAnsi="Arial" w:cs="Arial"/>
                <w:color w:val="000000"/>
                <w:sz w:val="18"/>
                <w:lang w:eastAsia="fi-FI"/>
              </w:rPr>
              <w:t xml:space="preserve">- </w:t>
            </w:r>
            <w:r w:rsidRPr="00CC1DB9">
              <w:rPr>
                <w:rFonts w:ascii="Arial" w:eastAsia="Times New Roman" w:hAnsi="Arial" w:cs="Arial"/>
                <w:color w:val="000000"/>
                <w:sz w:val="18"/>
                <w:lang w:eastAsia="fi-FI"/>
              </w:rPr>
              <w:t>aineksen määrä y</w:t>
            </w:r>
            <w:r w:rsidRPr="009B35EC">
              <w:rPr>
                <w:rFonts w:ascii="Arial" w:eastAsia="Times New Roman" w:hAnsi="Arial" w:cs="Arial"/>
                <w:color w:val="000000"/>
                <w:sz w:val="18"/>
                <w:lang w:eastAsia="fi-FI"/>
              </w:rPr>
              <w:t>hteensä (m</w:t>
            </w:r>
            <w:r w:rsidRPr="009B35EC">
              <w:rPr>
                <w:rFonts w:ascii="Arial" w:eastAsia="Times New Roman" w:hAnsi="Arial" w:cs="Arial"/>
                <w:color w:val="000000"/>
                <w:sz w:val="18"/>
                <w:vertAlign w:val="superscript"/>
                <w:lang w:eastAsia="fi-FI"/>
              </w:rPr>
              <w:t>3</w:t>
            </w:r>
            <w:r>
              <w:rPr>
                <w:rFonts w:ascii="Arial" w:eastAsia="Times New Roman" w:hAnsi="Arial" w:cs="Arial"/>
                <w:color w:val="000000"/>
                <w:sz w:val="18"/>
                <w:lang w:eastAsia="fi-FI"/>
              </w:rPr>
              <w:t>/km</w:t>
            </w:r>
            <w:r w:rsidRPr="009B35EC">
              <w:rPr>
                <w:rFonts w:ascii="Arial" w:eastAsia="Times New Roman" w:hAnsi="Arial" w:cs="Arial"/>
                <w:color w:val="000000"/>
                <w:sz w:val="18"/>
                <w:lang w:eastAsia="fi-FI"/>
              </w:rPr>
              <w:t>)</w:t>
            </w:r>
          </w:p>
        </w:tc>
        <w:tc>
          <w:tcPr>
            <w:tcW w:w="625" w:type="pct"/>
            <w:noWrap/>
            <w:hideMark/>
          </w:tcPr>
          <w:p w14:paraId="51E6E7E7" w14:textId="77777777" w:rsidR="001A22F7" w:rsidRPr="009B35EC" w:rsidRDefault="001A22F7" w:rsidP="002D6673">
            <w:pPr>
              <w:rPr>
                <w:rFonts w:ascii="Arial" w:eastAsia="Times New Roman" w:hAnsi="Arial" w:cs="Arial"/>
                <w:color w:val="000000"/>
                <w:sz w:val="18"/>
                <w:lang w:eastAsia="fi-FI"/>
              </w:rPr>
            </w:pPr>
            <w:r>
              <w:rPr>
                <w:rFonts w:ascii="Arial" w:eastAsia="Times New Roman" w:hAnsi="Arial" w:cs="Arial"/>
                <w:color w:val="000000"/>
                <w:sz w:val="18"/>
                <w:lang w:eastAsia="fi-FI"/>
              </w:rPr>
              <w:t>Kivi- aineksen m</w:t>
            </w:r>
            <w:r w:rsidRPr="009B35EC">
              <w:rPr>
                <w:rFonts w:ascii="Arial" w:eastAsia="Times New Roman" w:hAnsi="Arial" w:cs="Arial"/>
                <w:color w:val="000000"/>
                <w:sz w:val="18"/>
                <w:lang w:eastAsia="fi-FI"/>
              </w:rPr>
              <w:t>äärä (t</w:t>
            </w:r>
            <w:r>
              <w:rPr>
                <w:rFonts w:ascii="Arial" w:eastAsia="Times New Roman" w:hAnsi="Arial" w:cs="Arial"/>
                <w:color w:val="000000"/>
                <w:sz w:val="18"/>
                <w:lang w:eastAsia="fi-FI"/>
              </w:rPr>
              <w:t>/km</w:t>
            </w:r>
            <w:r w:rsidRPr="009B35EC">
              <w:rPr>
                <w:rFonts w:ascii="Arial" w:eastAsia="Times New Roman" w:hAnsi="Arial" w:cs="Arial"/>
                <w:color w:val="000000"/>
                <w:sz w:val="18"/>
                <w:lang w:eastAsia="fi-FI"/>
              </w:rPr>
              <w:t>)</w:t>
            </w:r>
          </w:p>
        </w:tc>
      </w:tr>
      <w:tr w:rsidR="001A22F7" w:rsidRPr="00CC1DB9" w14:paraId="5408882C" w14:textId="77777777" w:rsidTr="002D6673">
        <w:trPr>
          <w:trHeight w:val="290"/>
        </w:trPr>
        <w:tc>
          <w:tcPr>
            <w:tcW w:w="625" w:type="pct"/>
            <w:noWrap/>
            <w:hideMark/>
          </w:tcPr>
          <w:p w14:paraId="27A355BE" w14:textId="77777777" w:rsidR="001A22F7" w:rsidRPr="009B35EC" w:rsidRDefault="001A22F7" w:rsidP="002D6673">
            <w:pPr>
              <w:rPr>
                <w:rFonts w:ascii="Arial" w:eastAsia="Times New Roman" w:hAnsi="Arial" w:cs="Arial"/>
                <w:color w:val="000000"/>
                <w:sz w:val="18"/>
                <w:lang w:eastAsia="fi-FI"/>
              </w:rPr>
            </w:pPr>
            <w:r w:rsidRPr="009B35EC">
              <w:rPr>
                <w:rFonts w:ascii="Arial" w:eastAsia="Times New Roman" w:hAnsi="Arial" w:cs="Arial"/>
                <w:color w:val="000000"/>
                <w:sz w:val="18"/>
                <w:lang w:eastAsia="fi-FI"/>
              </w:rPr>
              <w:t>Valtatiet</w:t>
            </w:r>
          </w:p>
        </w:tc>
        <w:tc>
          <w:tcPr>
            <w:tcW w:w="625" w:type="pct"/>
            <w:noWrap/>
            <w:hideMark/>
          </w:tcPr>
          <w:p w14:paraId="401D3416" w14:textId="77777777" w:rsidR="001A22F7" w:rsidRPr="009B35EC" w:rsidRDefault="001A22F7" w:rsidP="002D6673">
            <w:pPr>
              <w:jc w:val="right"/>
              <w:rPr>
                <w:rFonts w:ascii="Arial" w:eastAsia="Times New Roman" w:hAnsi="Arial" w:cs="Arial"/>
                <w:color w:val="000000"/>
                <w:sz w:val="18"/>
                <w:lang w:eastAsia="fi-FI"/>
              </w:rPr>
            </w:pPr>
            <w:r w:rsidRPr="009B35EC">
              <w:rPr>
                <w:rFonts w:ascii="Arial" w:eastAsia="Times New Roman" w:hAnsi="Arial" w:cs="Arial"/>
                <w:color w:val="000000"/>
                <w:sz w:val="18"/>
                <w:lang w:eastAsia="fi-FI"/>
              </w:rPr>
              <w:t>7,2</w:t>
            </w:r>
          </w:p>
        </w:tc>
        <w:tc>
          <w:tcPr>
            <w:tcW w:w="625" w:type="pct"/>
            <w:noWrap/>
            <w:hideMark/>
          </w:tcPr>
          <w:p w14:paraId="3B641692" w14:textId="77777777" w:rsidR="001A22F7" w:rsidRPr="009B35EC" w:rsidRDefault="001A22F7" w:rsidP="002D6673">
            <w:pPr>
              <w:jc w:val="right"/>
              <w:rPr>
                <w:rFonts w:ascii="Arial" w:eastAsia="Times New Roman" w:hAnsi="Arial" w:cs="Arial"/>
                <w:color w:val="000000"/>
                <w:sz w:val="18"/>
                <w:lang w:eastAsia="fi-FI"/>
              </w:rPr>
            </w:pPr>
            <w:r w:rsidRPr="009B35EC">
              <w:rPr>
                <w:rFonts w:ascii="Arial" w:eastAsia="Times New Roman" w:hAnsi="Arial" w:cs="Arial"/>
                <w:color w:val="000000"/>
                <w:sz w:val="18"/>
                <w:lang w:eastAsia="fi-FI"/>
              </w:rPr>
              <w:t>0,9</w:t>
            </w:r>
          </w:p>
        </w:tc>
        <w:tc>
          <w:tcPr>
            <w:tcW w:w="625" w:type="pct"/>
            <w:vMerge w:val="restart"/>
            <w:noWrap/>
            <w:vAlign w:val="center"/>
          </w:tcPr>
          <w:p w14:paraId="09C2AC12" w14:textId="77777777" w:rsidR="001A22F7" w:rsidRPr="009B35EC" w:rsidRDefault="001A22F7" w:rsidP="002D6673">
            <w:pPr>
              <w:jc w:val="right"/>
              <w:rPr>
                <w:rFonts w:ascii="Arial" w:eastAsia="Times New Roman" w:hAnsi="Arial" w:cs="Arial"/>
                <w:color w:val="000000"/>
                <w:sz w:val="18"/>
                <w:lang w:eastAsia="fi-FI"/>
              </w:rPr>
            </w:pPr>
            <w:r>
              <w:rPr>
                <w:rFonts w:ascii="Arial" w:eastAsia="Times New Roman" w:hAnsi="Arial" w:cs="Arial"/>
                <w:color w:val="000000"/>
                <w:sz w:val="18"/>
                <w:lang w:eastAsia="fi-FI"/>
              </w:rPr>
              <w:t>1,86</w:t>
            </w:r>
          </w:p>
        </w:tc>
        <w:tc>
          <w:tcPr>
            <w:tcW w:w="625" w:type="pct"/>
            <w:vMerge w:val="restart"/>
            <w:noWrap/>
            <w:vAlign w:val="center"/>
          </w:tcPr>
          <w:p w14:paraId="0C4FD787" w14:textId="77777777" w:rsidR="001A22F7" w:rsidRPr="009B35EC" w:rsidRDefault="001A22F7" w:rsidP="002D6673">
            <w:pPr>
              <w:jc w:val="right"/>
              <w:rPr>
                <w:rFonts w:ascii="Arial" w:eastAsia="Times New Roman" w:hAnsi="Arial" w:cs="Arial"/>
                <w:color w:val="000000"/>
                <w:sz w:val="18"/>
                <w:lang w:eastAsia="fi-FI"/>
              </w:rPr>
            </w:pPr>
            <w:r>
              <w:rPr>
                <w:rFonts w:ascii="Arial" w:eastAsia="Times New Roman" w:hAnsi="Arial" w:cs="Arial"/>
                <w:color w:val="000000"/>
                <w:sz w:val="18"/>
                <w:lang w:eastAsia="fi-FI"/>
              </w:rPr>
              <w:t>15668</w:t>
            </w:r>
          </w:p>
        </w:tc>
        <w:tc>
          <w:tcPr>
            <w:tcW w:w="625" w:type="pct"/>
            <w:vMerge w:val="restart"/>
            <w:noWrap/>
            <w:vAlign w:val="center"/>
          </w:tcPr>
          <w:p w14:paraId="6E0C173A" w14:textId="77777777" w:rsidR="001A22F7" w:rsidRPr="009B35EC" w:rsidRDefault="001A22F7" w:rsidP="002D6673">
            <w:pPr>
              <w:jc w:val="right"/>
              <w:rPr>
                <w:rFonts w:ascii="Arial" w:eastAsia="Times New Roman" w:hAnsi="Arial" w:cs="Arial"/>
                <w:color w:val="000000"/>
                <w:sz w:val="18"/>
                <w:lang w:eastAsia="fi-FI"/>
              </w:rPr>
            </w:pPr>
            <w:r>
              <w:rPr>
                <w:rFonts w:ascii="Arial" w:eastAsia="Times New Roman" w:hAnsi="Arial" w:cs="Arial"/>
                <w:color w:val="000000"/>
                <w:sz w:val="18"/>
                <w:lang w:eastAsia="fi-FI"/>
              </w:rPr>
              <w:t>5189</w:t>
            </w:r>
          </w:p>
        </w:tc>
        <w:tc>
          <w:tcPr>
            <w:tcW w:w="625" w:type="pct"/>
            <w:vMerge w:val="restart"/>
            <w:noWrap/>
            <w:vAlign w:val="center"/>
          </w:tcPr>
          <w:p w14:paraId="60E40D52" w14:textId="77777777" w:rsidR="001A22F7" w:rsidRPr="009B35EC" w:rsidRDefault="001A22F7" w:rsidP="002D6673">
            <w:pPr>
              <w:jc w:val="right"/>
              <w:rPr>
                <w:rFonts w:ascii="Arial" w:eastAsia="Times New Roman" w:hAnsi="Arial" w:cs="Arial"/>
                <w:color w:val="000000"/>
                <w:sz w:val="18"/>
                <w:lang w:eastAsia="fi-FI"/>
              </w:rPr>
            </w:pPr>
            <w:r>
              <w:rPr>
                <w:rFonts w:ascii="Arial" w:eastAsia="Times New Roman" w:hAnsi="Arial" w:cs="Arial"/>
                <w:color w:val="000000"/>
                <w:sz w:val="18"/>
                <w:lang w:eastAsia="fi-FI"/>
              </w:rPr>
              <w:t>20857</w:t>
            </w:r>
          </w:p>
        </w:tc>
        <w:tc>
          <w:tcPr>
            <w:tcW w:w="625" w:type="pct"/>
            <w:vMerge w:val="restart"/>
            <w:noWrap/>
            <w:vAlign w:val="center"/>
          </w:tcPr>
          <w:p w14:paraId="27DFE95E" w14:textId="77777777" w:rsidR="001A22F7" w:rsidRPr="009B35EC" w:rsidRDefault="001A22F7" w:rsidP="002D6673">
            <w:pPr>
              <w:jc w:val="right"/>
              <w:rPr>
                <w:rFonts w:ascii="Arial" w:eastAsia="Times New Roman" w:hAnsi="Arial" w:cs="Arial"/>
                <w:color w:val="000000"/>
                <w:sz w:val="18"/>
                <w:lang w:eastAsia="fi-FI"/>
              </w:rPr>
            </w:pPr>
            <w:r>
              <w:rPr>
                <w:rFonts w:ascii="Arial" w:eastAsia="Times New Roman" w:hAnsi="Arial" w:cs="Arial"/>
                <w:color w:val="000000"/>
                <w:sz w:val="18"/>
                <w:lang w:eastAsia="fi-FI"/>
              </w:rPr>
              <w:t>41714</w:t>
            </w:r>
          </w:p>
        </w:tc>
      </w:tr>
      <w:tr w:rsidR="001A22F7" w:rsidRPr="00CC1DB9" w14:paraId="5492B6EA" w14:textId="77777777" w:rsidTr="002D6673">
        <w:trPr>
          <w:trHeight w:val="290"/>
        </w:trPr>
        <w:tc>
          <w:tcPr>
            <w:tcW w:w="625" w:type="pct"/>
            <w:noWrap/>
            <w:hideMark/>
          </w:tcPr>
          <w:p w14:paraId="665CF5B2" w14:textId="77777777" w:rsidR="001A22F7" w:rsidRPr="009B35EC" w:rsidRDefault="001A22F7" w:rsidP="002D6673">
            <w:pPr>
              <w:rPr>
                <w:rFonts w:ascii="Arial" w:eastAsia="Times New Roman" w:hAnsi="Arial" w:cs="Arial"/>
                <w:color w:val="000000"/>
                <w:sz w:val="18"/>
                <w:lang w:eastAsia="fi-FI"/>
              </w:rPr>
            </w:pPr>
            <w:r w:rsidRPr="009B35EC">
              <w:rPr>
                <w:rFonts w:ascii="Arial" w:eastAsia="Times New Roman" w:hAnsi="Arial" w:cs="Arial"/>
                <w:color w:val="000000"/>
                <w:sz w:val="18"/>
                <w:lang w:eastAsia="fi-FI"/>
              </w:rPr>
              <w:t>Kantatiet</w:t>
            </w:r>
          </w:p>
        </w:tc>
        <w:tc>
          <w:tcPr>
            <w:tcW w:w="625" w:type="pct"/>
            <w:noWrap/>
            <w:hideMark/>
          </w:tcPr>
          <w:p w14:paraId="174A9538" w14:textId="77777777" w:rsidR="001A22F7" w:rsidRPr="009B35EC" w:rsidRDefault="001A22F7" w:rsidP="002D6673">
            <w:pPr>
              <w:jc w:val="right"/>
              <w:rPr>
                <w:rFonts w:ascii="Arial" w:eastAsia="Times New Roman" w:hAnsi="Arial" w:cs="Arial"/>
                <w:color w:val="000000"/>
                <w:sz w:val="18"/>
                <w:lang w:eastAsia="fi-FI"/>
              </w:rPr>
            </w:pPr>
            <w:r w:rsidRPr="009B35EC">
              <w:rPr>
                <w:rFonts w:ascii="Arial" w:eastAsia="Times New Roman" w:hAnsi="Arial" w:cs="Arial"/>
                <w:color w:val="000000"/>
                <w:sz w:val="18"/>
                <w:lang w:eastAsia="fi-FI"/>
              </w:rPr>
              <w:t>7,2</w:t>
            </w:r>
          </w:p>
        </w:tc>
        <w:tc>
          <w:tcPr>
            <w:tcW w:w="625" w:type="pct"/>
            <w:noWrap/>
            <w:hideMark/>
          </w:tcPr>
          <w:p w14:paraId="234B39DF" w14:textId="77777777" w:rsidR="001A22F7" w:rsidRPr="009B35EC" w:rsidRDefault="001A22F7" w:rsidP="002D6673">
            <w:pPr>
              <w:jc w:val="right"/>
              <w:rPr>
                <w:rFonts w:ascii="Arial" w:eastAsia="Times New Roman" w:hAnsi="Arial" w:cs="Arial"/>
                <w:color w:val="000000"/>
                <w:sz w:val="18"/>
                <w:lang w:eastAsia="fi-FI"/>
              </w:rPr>
            </w:pPr>
            <w:r w:rsidRPr="009B35EC">
              <w:rPr>
                <w:rFonts w:ascii="Arial" w:eastAsia="Times New Roman" w:hAnsi="Arial" w:cs="Arial"/>
                <w:color w:val="000000"/>
                <w:sz w:val="18"/>
                <w:lang w:eastAsia="fi-FI"/>
              </w:rPr>
              <w:t>1,5</w:t>
            </w:r>
          </w:p>
        </w:tc>
        <w:tc>
          <w:tcPr>
            <w:tcW w:w="625" w:type="pct"/>
            <w:vMerge/>
            <w:noWrap/>
          </w:tcPr>
          <w:p w14:paraId="17F7E027" w14:textId="77777777" w:rsidR="001A22F7" w:rsidRPr="009B35EC" w:rsidRDefault="001A22F7" w:rsidP="002D6673">
            <w:pPr>
              <w:jc w:val="right"/>
              <w:rPr>
                <w:rFonts w:ascii="Arial" w:eastAsia="Times New Roman" w:hAnsi="Arial" w:cs="Arial"/>
                <w:color w:val="000000"/>
                <w:sz w:val="18"/>
                <w:lang w:eastAsia="fi-FI"/>
              </w:rPr>
            </w:pPr>
          </w:p>
        </w:tc>
        <w:tc>
          <w:tcPr>
            <w:tcW w:w="625" w:type="pct"/>
            <w:vMerge/>
            <w:noWrap/>
            <w:hideMark/>
          </w:tcPr>
          <w:p w14:paraId="1B5EFE3A" w14:textId="77777777" w:rsidR="001A22F7" w:rsidRPr="009B35EC" w:rsidRDefault="001A22F7" w:rsidP="002D6673">
            <w:pPr>
              <w:jc w:val="right"/>
              <w:rPr>
                <w:rFonts w:ascii="Arial" w:eastAsia="Times New Roman" w:hAnsi="Arial" w:cs="Arial"/>
                <w:color w:val="000000"/>
                <w:sz w:val="18"/>
                <w:lang w:eastAsia="fi-FI"/>
              </w:rPr>
            </w:pPr>
          </w:p>
        </w:tc>
        <w:tc>
          <w:tcPr>
            <w:tcW w:w="625" w:type="pct"/>
            <w:vMerge/>
            <w:noWrap/>
          </w:tcPr>
          <w:p w14:paraId="264BCA8B" w14:textId="77777777" w:rsidR="001A22F7" w:rsidRPr="009B35EC" w:rsidRDefault="001A22F7" w:rsidP="002D6673">
            <w:pPr>
              <w:jc w:val="right"/>
              <w:rPr>
                <w:rFonts w:ascii="Arial" w:eastAsia="Times New Roman" w:hAnsi="Arial" w:cs="Arial"/>
                <w:color w:val="000000"/>
                <w:sz w:val="18"/>
                <w:lang w:eastAsia="fi-FI"/>
              </w:rPr>
            </w:pPr>
          </w:p>
        </w:tc>
        <w:tc>
          <w:tcPr>
            <w:tcW w:w="625" w:type="pct"/>
            <w:vMerge/>
            <w:noWrap/>
          </w:tcPr>
          <w:p w14:paraId="44A5F74F" w14:textId="77777777" w:rsidR="001A22F7" w:rsidRPr="009B35EC" w:rsidRDefault="001A22F7" w:rsidP="002D6673">
            <w:pPr>
              <w:jc w:val="right"/>
              <w:rPr>
                <w:rFonts w:ascii="Arial" w:eastAsia="Times New Roman" w:hAnsi="Arial" w:cs="Arial"/>
                <w:color w:val="000000"/>
                <w:sz w:val="18"/>
                <w:lang w:eastAsia="fi-FI"/>
              </w:rPr>
            </w:pPr>
          </w:p>
        </w:tc>
        <w:tc>
          <w:tcPr>
            <w:tcW w:w="625" w:type="pct"/>
            <w:vMerge/>
            <w:noWrap/>
          </w:tcPr>
          <w:p w14:paraId="2E0D701C" w14:textId="77777777" w:rsidR="001A22F7" w:rsidRPr="009B35EC" w:rsidRDefault="001A22F7" w:rsidP="002D6673">
            <w:pPr>
              <w:jc w:val="right"/>
              <w:rPr>
                <w:rFonts w:ascii="Arial" w:eastAsia="Times New Roman" w:hAnsi="Arial" w:cs="Arial"/>
                <w:color w:val="000000"/>
                <w:sz w:val="18"/>
                <w:lang w:eastAsia="fi-FI"/>
              </w:rPr>
            </w:pPr>
          </w:p>
        </w:tc>
      </w:tr>
      <w:tr w:rsidR="001A22F7" w:rsidRPr="00CC1DB9" w14:paraId="546499D0" w14:textId="77777777" w:rsidTr="002D6673">
        <w:trPr>
          <w:trHeight w:val="290"/>
        </w:trPr>
        <w:tc>
          <w:tcPr>
            <w:tcW w:w="625" w:type="pct"/>
            <w:noWrap/>
            <w:hideMark/>
          </w:tcPr>
          <w:p w14:paraId="1B80198F" w14:textId="77777777" w:rsidR="001A22F7" w:rsidRPr="009B35EC" w:rsidRDefault="001A22F7" w:rsidP="002D6673">
            <w:pPr>
              <w:rPr>
                <w:rFonts w:ascii="Arial" w:eastAsia="Times New Roman" w:hAnsi="Arial" w:cs="Arial"/>
                <w:color w:val="000000"/>
                <w:sz w:val="18"/>
                <w:lang w:eastAsia="fi-FI"/>
              </w:rPr>
            </w:pPr>
            <w:r w:rsidRPr="009B35EC">
              <w:rPr>
                <w:rFonts w:ascii="Arial" w:eastAsia="Times New Roman" w:hAnsi="Arial" w:cs="Arial"/>
                <w:color w:val="000000"/>
                <w:sz w:val="18"/>
                <w:lang w:eastAsia="fi-FI"/>
              </w:rPr>
              <w:t>Seututiet</w:t>
            </w:r>
          </w:p>
        </w:tc>
        <w:tc>
          <w:tcPr>
            <w:tcW w:w="625" w:type="pct"/>
            <w:noWrap/>
            <w:hideMark/>
          </w:tcPr>
          <w:p w14:paraId="1C6141AB" w14:textId="77777777" w:rsidR="001A22F7" w:rsidRPr="009B35EC" w:rsidRDefault="001A22F7" w:rsidP="002D6673">
            <w:pPr>
              <w:jc w:val="right"/>
              <w:rPr>
                <w:rFonts w:ascii="Arial" w:eastAsia="Times New Roman" w:hAnsi="Arial" w:cs="Arial"/>
                <w:color w:val="000000"/>
                <w:sz w:val="18"/>
                <w:lang w:eastAsia="fi-FI"/>
              </w:rPr>
            </w:pPr>
            <w:r w:rsidRPr="009B35EC">
              <w:rPr>
                <w:rFonts w:ascii="Arial" w:eastAsia="Times New Roman" w:hAnsi="Arial" w:cs="Arial"/>
                <w:color w:val="000000"/>
                <w:sz w:val="18"/>
                <w:lang w:eastAsia="fi-FI"/>
              </w:rPr>
              <w:t>6,4</w:t>
            </w:r>
          </w:p>
        </w:tc>
        <w:tc>
          <w:tcPr>
            <w:tcW w:w="625" w:type="pct"/>
            <w:noWrap/>
            <w:hideMark/>
          </w:tcPr>
          <w:p w14:paraId="5A20F1DF" w14:textId="77777777" w:rsidR="001A22F7" w:rsidRPr="009B35EC" w:rsidRDefault="001A22F7" w:rsidP="002D6673">
            <w:pPr>
              <w:jc w:val="right"/>
              <w:rPr>
                <w:rFonts w:ascii="Arial" w:eastAsia="Times New Roman" w:hAnsi="Arial" w:cs="Arial"/>
                <w:color w:val="000000"/>
                <w:sz w:val="18"/>
                <w:lang w:eastAsia="fi-FI"/>
              </w:rPr>
            </w:pPr>
            <w:r w:rsidRPr="009B35EC">
              <w:rPr>
                <w:rFonts w:ascii="Arial" w:eastAsia="Times New Roman" w:hAnsi="Arial" w:cs="Arial"/>
                <w:color w:val="000000"/>
                <w:sz w:val="18"/>
                <w:lang w:eastAsia="fi-FI"/>
              </w:rPr>
              <w:t>0,4</w:t>
            </w:r>
          </w:p>
        </w:tc>
        <w:tc>
          <w:tcPr>
            <w:tcW w:w="625" w:type="pct"/>
            <w:noWrap/>
            <w:hideMark/>
          </w:tcPr>
          <w:p w14:paraId="3CEBCD0E" w14:textId="77777777" w:rsidR="001A22F7" w:rsidRPr="009B35EC" w:rsidRDefault="001A22F7" w:rsidP="002D6673">
            <w:pPr>
              <w:jc w:val="right"/>
              <w:rPr>
                <w:rFonts w:ascii="Arial" w:eastAsia="Times New Roman" w:hAnsi="Arial" w:cs="Arial"/>
                <w:color w:val="000000"/>
                <w:sz w:val="18"/>
                <w:lang w:eastAsia="fi-FI"/>
              </w:rPr>
            </w:pPr>
            <w:r>
              <w:rPr>
                <w:rFonts w:ascii="Arial" w:eastAsia="Times New Roman" w:hAnsi="Arial" w:cs="Arial"/>
                <w:color w:val="000000"/>
                <w:sz w:val="18"/>
                <w:lang w:eastAsia="fi-FI"/>
              </w:rPr>
              <w:t>0,63</w:t>
            </w:r>
          </w:p>
        </w:tc>
        <w:tc>
          <w:tcPr>
            <w:tcW w:w="625" w:type="pct"/>
            <w:noWrap/>
            <w:hideMark/>
          </w:tcPr>
          <w:p w14:paraId="3D267225" w14:textId="77777777" w:rsidR="001A22F7" w:rsidRPr="009B35EC" w:rsidRDefault="001A22F7" w:rsidP="002D6673">
            <w:pPr>
              <w:jc w:val="right"/>
              <w:rPr>
                <w:rFonts w:ascii="Arial" w:eastAsia="Times New Roman" w:hAnsi="Arial" w:cs="Arial"/>
                <w:color w:val="000000"/>
                <w:sz w:val="18"/>
                <w:lang w:eastAsia="fi-FI"/>
              </w:rPr>
            </w:pPr>
            <w:r w:rsidRPr="009B35EC">
              <w:rPr>
                <w:rFonts w:ascii="Arial" w:eastAsia="Times New Roman" w:hAnsi="Arial" w:cs="Arial"/>
                <w:color w:val="000000"/>
                <w:sz w:val="18"/>
                <w:lang w:eastAsia="fi-FI"/>
              </w:rPr>
              <w:t>4718</w:t>
            </w:r>
          </w:p>
        </w:tc>
        <w:tc>
          <w:tcPr>
            <w:tcW w:w="625" w:type="pct"/>
            <w:noWrap/>
            <w:hideMark/>
          </w:tcPr>
          <w:p w14:paraId="06F5CA0A" w14:textId="77777777" w:rsidR="001A22F7" w:rsidRPr="009B35EC" w:rsidRDefault="001A22F7" w:rsidP="002D6673">
            <w:pPr>
              <w:jc w:val="right"/>
              <w:rPr>
                <w:rFonts w:ascii="Arial" w:eastAsia="Times New Roman" w:hAnsi="Arial" w:cs="Arial"/>
                <w:color w:val="000000"/>
                <w:sz w:val="18"/>
                <w:lang w:eastAsia="fi-FI"/>
              </w:rPr>
            </w:pPr>
            <w:r w:rsidRPr="009B35EC">
              <w:rPr>
                <w:rFonts w:ascii="Arial" w:eastAsia="Times New Roman" w:hAnsi="Arial" w:cs="Arial"/>
                <w:color w:val="000000"/>
                <w:sz w:val="18"/>
                <w:lang w:eastAsia="fi-FI"/>
              </w:rPr>
              <w:t>721</w:t>
            </w:r>
          </w:p>
        </w:tc>
        <w:tc>
          <w:tcPr>
            <w:tcW w:w="625" w:type="pct"/>
            <w:noWrap/>
            <w:hideMark/>
          </w:tcPr>
          <w:p w14:paraId="1E5497E2" w14:textId="77777777" w:rsidR="001A22F7" w:rsidRPr="009B35EC" w:rsidRDefault="001A22F7" w:rsidP="002D6673">
            <w:pPr>
              <w:jc w:val="right"/>
              <w:rPr>
                <w:rFonts w:ascii="Arial" w:eastAsia="Times New Roman" w:hAnsi="Arial" w:cs="Arial"/>
                <w:color w:val="000000"/>
                <w:sz w:val="18"/>
                <w:lang w:eastAsia="fi-FI"/>
              </w:rPr>
            </w:pPr>
            <w:r w:rsidRPr="009B35EC">
              <w:rPr>
                <w:rFonts w:ascii="Arial" w:eastAsia="Times New Roman" w:hAnsi="Arial" w:cs="Arial"/>
                <w:color w:val="000000"/>
                <w:sz w:val="18"/>
                <w:lang w:eastAsia="fi-FI"/>
              </w:rPr>
              <w:t>5439</w:t>
            </w:r>
          </w:p>
        </w:tc>
        <w:tc>
          <w:tcPr>
            <w:tcW w:w="625" w:type="pct"/>
            <w:noWrap/>
            <w:hideMark/>
          </w:tcPr>
          <w:p w14:paraId="2E53800F" w14:textId="77777777" w:rsidR="001A22F7" w:rsidRPr="009B35EC" w:rsidRDefault="001A22F7" w:rsidP="002D6673">
            <w:pPr>
              <w:jc w:val="right"/>
              <w:rPr>
                <w:rFonts w:ascii="Arial" w:eastAsia="Times New Roman" w:hAnsi="Arial" w:cs="Arial"/>
                <w:color w:val="000000"/>
                <w:sz w:val="18"/>
                <w:lang w:eastAsia="fi-FI"/>
              </w:rPr>
            </w:pPr>
            <w:r w:rsidRPr="009B35EC">
              <w:rPr>
                <w:rFonts w:ascii="Arial" w:eastAsia="Times New Roman" w:hAnsi="Arial" w:cs="Arial"/>
                <w:color w:val="000000"/>
                <w:sz w:val="18"/>
                <w:lang w:eastAsia="fi-FI"/>
              </w:rPr>
              <w:t>10879</w:t>
            </w:r>
          </w:p>
        </w:tc>
      </w:tr>
      <w:tr w:rsidR="001A22F7" w:rsidRPr="00CC1DB9" w14:paraId="317FB414" w14:textId="77777777" w:rsidTr="002D6673">
        <w:trPr>
          <w:trHeight w:val="290"/>
        </w:trPr>
        <w:tc>
          <w:tcPr>
            <w:tcW w:w="625" w:type="pct"/>
            <w:noWrap/>
            <w:hideMark/>
          </w:tcPr>
          <w:p w14:paraId="326D9CA7" w14:textId="77777777" w:rsidR="001A22F7" w:rsidRPr="009B35EC" w:rsidRDefault="001A22F7" w:rsidP="002D6673">
            <w:pPr>
              <w:rPr>
                <w:rFonts w:ascii="Arial" w:eastAsia="Times New Roman" w:hAnsi="Arial" w:cs="Arial"/>
                <w:color w:val="000000"/>
                <w:sz w:val="18"/>
                <w:lang w:eastAsia="fi-FI"/>
              </w:rPr>
            </w:pPr>
            <w:r w:rsidRPr="009B35EC">
              <w:rPr>
                <w:rFonts w:ascii="Arial" w:eastAsia="Times New Roman" w:hAnsi="Arial" w:cs="Arial"/>
                <w:color w:val="000000"/>
                <w:sz w:val="18"/>
                <w:lang w:eastAsia="fi-FI"/>
              </w:rPr>
              <w:t>Yhdystiet</w:t>
            </w:r>
          </w:p>
        </w:tc>
        <w:tc>
          <w:tcPr>
            <w:tcW w:w="625" w:type="pct"/>
            <w:noWrap/>
            <w:hideMark/>
          </w:tcPr>
          <w:p w14:paraId="321F6F36" w14:textId="77777777" w:rsidR="001A22F7" w:rsidRPr="009B35EC" w:rsidRDefault="001A22F7" w:rsidP="002D6673">
            <w:pPr>
              <w:jc w:val="right"/>
              <w:rPr>
                <w:rFonts w:ascii="Arial" w:eastAsia="Times New Roman" w:hAnsi="Arial" w:cs="Arial"/>
                <w:color w:val="000000"/>
                <w:sz w:val="18"/>
                <w:lang w:eastAsia="fi-FI"/>
              </w:rPr>
            </w:pPr>
            <w:r w:rsidRPr="009B35EC">
              <w:rPr>
                <w:rFonts w:ascii="Arial" w:eastAsia="Times New Roman" w:hAnsi="Arial" w:cs="Arial"/>
                <w:color w:val="000000"/>
                <w:sz w:val="18"/>
                <w:lang w:eastAsia="fi-FI"/>
              </w:rPr>
              <w:t>6,4</w:t>
            </w:r>
          </w:p>
        </w:tc>
        <w:tc>
          <w:tcPr>
            <w:tcW w:w="625" w:type="pct"/>
            <w:noWrap/>
            <w:hideMark/>
          </w:tcPr>
          <w:p w14:paraId="7AFA3B76" w14:textId="77777777" w:rsidR="001A22F7" w:rsidRPr="009B35EC" w:rsidRDefault="001A22F7" w:rsidP="002D6673">
            <w:pPr>
              <w:jc w:val="right"/>
              <w:rPr>
                <w:rFonts w:ascii="Arial" w:eastAsia="Times New Roman" w:hAnsi="Arial" w:cs="Arial"/>
                <w:color w:val="000000"/>
                <w:sz w:val="18"/>
                <w:lang w:eastAsia="fi-FI"/>
              </w:rPr>
            </w:pPr>
            <w:r w:rsidRPr="009B35EC">
              <w:rPr>
                <w:rFonts w:ascii="Arial" w:eastAsia="Times New Roman" w:hAnsi="Arial" w:cs="Arial"/>
                <w:color w:val="000000"/>
                <w:sz w:val="18"/>
                <w:lang w:eastAsia="fi-FI"/>
              </w:rPr>
              <w:t>0,3</w:t>
            </w:r>
          </w:p>
        </w:tc>
        <w:tc>
          <w:tcPr>
            <w:tcW w:w="625" w:type="pct"/>
            <w:noWrap/>
            <w:hideMark/>
          </w:tcPr>
          <w:p w14:paraId="6CC81DB1" w14:textId="77777777" w:rsidR="001A22F7" w:rsidRPr="009B35EC" w:rsidRDefault="001A22F7" w:rsidP="002D6673">
            <w:pPr>
              <w:jc w:val="right"/>
              <w:rPr>
                <w:rFonts w:ascii="Arial" w:eastAsia="Times New Roman" w:hAnsi="Arial" w:cs="Arial"/>
                <w:color w:val="000000"/>
                <w:sz w:val="18"/>
                <w:lang w:eastAsia="fi-FI"/>
              </w:rPr>
            </w:pPr>
            <w:r>
              <w:rPr>
                <w:rFonts w:ascii="Arial" w:eastAsia="Times New Roman" w:hAnsi="Arial" w:cs="Arial"/>
                <w:color w:val="000000"/>
                <w:sz w:val="18"/>
                <w:lang w:eastAsia="fi-FI"/>
              </w:rPr>
              <w:t>0,69</w:t>
            </w:r>
          </w:p>
        </w:tc>
        <w:tc>
          <w:tcPr>
            <w:tcW w:w="625" w:type="pct"/>
            <w:noWrap/>
            <w:hideMark/>
          </w:tcPr>
          <w:p w14:paraId="54280B02" w14:textId="77777777" w:rsidR="001A22F7" w:rsidRPr="009B35EC" w:rsidRDefault="001A22F7" w:rsidP="002D6673">
            <w:pPr>
              <w:jc w:val="right"/>
              <w:rPr>
                <w:rFonts w:ascii="Arial" w:eastAsia="Times New Roman" w:hAnsi="Arial" w:cs="Arial"/>
                <w:color w:val="000000"/>
                <w:sz w:val="18"/>
                <w:lang w:eastAsia="fi-FI"/>
              </w:rPr>
            </w:pPr>
            <w:r w:rsidRPr="009B35EC">
              <w:rPr>
                <w:rFonts w:ascii="Arial" w:eastAsia="Times New Roman" w:hAnsi="Arial" w:cs="Arial"/>
                <w:color w:val="000000"/>
                <w:sz w:val="18"/>
                <w:lang w:eastAsia="fi-FI"/>
              </w:rPr>
              <w:t>3318</w:t>
            </w:r>
          </w:p>
        </w:tc>
        <w:tc>
          <w:tcPr>
            <w:tcW w:w="625" w:type="pct"/>
            <w:noWrap/>
            <w:hideMark/>
          </w:tcPr>
          <w:p w14:paraId="1F3B215F" w14:textId="77777777" w:rsidR="001A22F7" w:rsidRPr="009B35EC" w:rsidRDefault="001A22F7" w:rsidP="002D6673">
            <w:pPr>
              <w:jc w:val="right"/>
              <w:rPr>
                <w:rFonts w:ascii="Arial" w:eastAsia="Times New Roman" w:hAnsi="Arial" w:cs="Arial"/>
                <w:color w:val="000000"/>
                <w:sz w:val="18"/>
                <w:lang w:eastAsia="fi-FI"/>
              </w:rPr>
            </w:pPr>
            <w:r w:rsidRPr="009B35EC">
              <w:rPr>
                <w:rFonts w:ascii="Arial" w:eastAsia="Times New Roman" w:hAnsi="Arial" w:cs="Arial"/>
                <w:color w:val="000000"/>
                <w:sz w:val="18"/>
                <w:lang w:eastAsia="fi-FI"/>
              </w:rPr>
              <w:t>360</w:t>
            </w:r>
          </w:p>
        </w:tc>
        <w:tc>
          <w:tcPr>
            <w:tcW w:w="625" w:type="pct"/>
            <w:noWrap/>
            <w:hideMark/>
          </w:tcPr>
          <w:p w14:paraId="3A7C0497" w14:textId="77777777" w:rsidR="001A22F7" w:rsidRPr="009B35EC" w:rsidRDefault="001A22F7" w:rsidP="002D6673">
            <w:pPr>
              <w:jc w:val="right"/>
              <w:rPr>
                <w:rFonts w:ascii="Arial" w:eastAsia="Times New Roman" w:hAnsi="Arial" w:cs="Arial"/>
                <w:color w:val="000000"/>
                <w:sz w:val="18"/>
                <w:lang w:eastAsia="fi-FI"/>
              </w:rPr>
            </w:pPr>
            <w:r w:rsidRPr="009B35EC">
              <w:rPr>
                <w:rFonts w:ascii="Arial" w:eastAsia="Times New Roman" w:hAnsi="Arial" w:cs="Arial"/>
                <w:color w:val="000000"/>
                <w:sz w:val="18"/>
                <w:lang w:eastAsia="fi-FI"/>
              </w:rPr>
              <w:t>3678</w:t>
            </w:r>
          </w:p>
        </w:tc>
        <w:tc>
          <w:tcPr>
            <w:tcW w:w="625" w:type="pct"/>
            <w:noWrap/>
            <w:hideMark/>
          </w:tcPr>
          <w:p w14:paraId="42C8EED8" w14:textId="77777777" w:rsidR="001A22F7" w:rsidRPr="009B35EC" w:rsidRDefault="001A22F7" w:rsidP="002D6673">
            <w:pPr>
              <w:jc w:val="right"/>
              <w:rPr>
                <w:rFonts w:ascii="Arial" w:eastAsia="Times New Roman" w:hAnsi="Arial" w:cs="Arial"/>
                <w:color w:val="000000"/>
                <w:sz w:val="18"/>
                <w:lang w:eastAsia="fi-FI"/>
              </w:rPr>
            </w:pPr>
            <w:r w:rsidRPr="009B35EC">
              <w:rPr>
                <w:rFonts w:ascii="Arial" w:eastAsia="Times New Roman" w:hAnsi="Arial" w:cs="Arial"/>
                <w:color w:val="000000"/>
                <w:sz w:val="18"/>
                <w:lang w:eastAsia="fi-FI"/>
              </w:rPr>
              <w:t>7356</w:t>
            </w:r>
          </w:p>
        </w:tc>
      </w:tr>
    </w:tbl>
    <w:p w14:paraId="0B2C346B" w14:textId="77777777" w:rsidR="001A22F7" w:rsidRDefault="001A22F7" w:rsidP="001A22F7">
      <w:pPr>
        <w:tabs>
          <w:tab w:val="left" w:pos="2590"/>
        </w:tabs>
        <w:rPr>
          <w:rFonts w:ascii="Arial" w:hAnsi="Arial" w:cs="Arial"/>
          <w:sz w:val="24"/>
        </w:rPr>
      </w:pPr>
    </w:p>
    <w:p w14:paraId="39E3957C" w14:textId="77777777" w:rsidR="001A22F7" w:rsidRPr="00E45789" w:rsidRDefault="001A22F7" w:rsidP="001A22F7">
      <w:pPr>
        <w:tabs>
          <w:tab w:val="left" w:pos="2590"/>
        </w:tabs>
        <w:rPr>
          <w:rFonts w:ascii="Arial" w:hAnsi="Arial" w:cs="Arial"/>
          <w:sz w:val="20"/>
        </w:rPr>
      </w:pPr>
      <w:r w:rsidRPr="00E45789">
        <w:rPr>
          <w:rFonts w:ascii="Arial" w:hAnsi="Arial" w:cs="Arial"/>
          <w:b/>
          <w:sz w:val="20"/>
        </w:rPr>
        <w:t xml:space="preserve">Taulukko 4. </w:t>
      </w:r>
      <w:r w:rsidRPr="00E45789">
        <w:rPr>
          <w:rFonts w:ascii="Arial" w:hAnsi="Arial" w:cs="Arial"/>
          <w:sz w:val="20"/>
        </w:rPr>
        <w:t>Saksassa laskettu tien rakennuksessa käytettävä hiekan ja soran määrä kilometriä kohden. (Eurostat 2018)</w:t>
      </w:r>
    </w:p>
    <w:p w14:paraId="6AEA7AC1" w14:textId="77777777" w:rsidR="001A22F7" w:rsidRDefault="001A22F7" w:rsidP="001A22F7">
      <w:pPr>
        <w:tabs>
          <w:tab w:val="left" w:pos="2590"/>
        </w:tabs>
        <w:rPr>
          <w:rFonts w:ascii="Arial" w:hAnsi="Arial" w:cs="Arial"/>
          <w:sz w:val="24"/>
        </w:rPr>
      </w:pPr>
      <w:r>
        <w:rPr>
          <w:noProof/>
          <w:lang w:eastAsia="fi-FI"/>
        </w:rPr>
        <w:drawing>
          <wp:inline distT="0" distB="0" distL="0" distR="0" wp14:anchorId="4BF72073" wp14:editId="62A4BC35">
            <wp:extent cx="6120130" cy="2870200"/>
            <wp:effectExtent l="0" t="0" r="0" b="635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9642" b="1417"/>
                    <a:stretch/>
                  </pic:blipFill>
                  <pic:spPr bwMode="auto">
                    <a:xfrm>
                      <a:off x="0" y="0"/>
                      <a:ext cx="6120130" cy="2870200"/>
                    </a:xfrm>
                    <a:prstGeom prst="rect">
                      <a:avLst/>
                    </a:prstGeom>
                    <a:ln>
                      <a:noFill/>
                    </a:ln>
                    <a:extLst>
                      <a:ext uri="{53640926-AAD7-44D8-BBD7-CCE9431645EC}">
                        <a14:shadowObscured xmlns:a14="http://schemas.microsoft.com/office/drawing/2010/main"/>
                      </a:ext>
                    </a:extLst>
                  </pic:spPr>
                </pic:pic>
              </a:graphicData>
            </a:graphic>
          </wp:inline>
        </w:drawing>
      </w:r>
    </w:p>
    <w:p w14:paraId="40742D9B" w14:textId="77777777" w:rsidR="001A22F7" w:rsidRDefault="001A22F7" w:rsidP="001A22F7">
      <w:pPr>
        <w:tabs>
          <w:tab w:val="left" w:pos="2590"/>
        </w:tabs>
        <w:rPr>
          <w:rFonts w:ascii="Arial" w:hAnsi="Arial" w:cs="Arial"/>
          <w:sz w:val="24"/>
        </w:rPr>
      </w:pPr>
    </w:p>
    <w:p w14:paraId="440677F0" w14:textId="77777777" w:rsidR="001A22F7" w:rsidRDefault="001A22F7" w:rsidP="001A22F7">
      <w:pPr>
        <w:tabs>
          <w:tab w:val="left" w:pos="2590"/>
        </w:tabs>
        <w:rPr>
          <w:rFonts w:ascii="Arial" w:hAnsi="Arial" w:cs="Arial"/>
          <w:sz w:val="24"/>
        </w:rPr>
      </w:pPr>
    </w:p>
    <w:p w14:paraId="0ADCF4E4" w14:textId="2B5B202C" w:rsidR="0011149A" w:rsidRPr="00980974" w:rsidRDefault="001A22F7">
      <w:pPr>
        <w:rPr>
          <w:rFonts w:ascii="Arial" w:hAnsi="Arial" w:cs="Arial"/>
        </w:rPr>
      </w:pPr>
      <w:r w:rsidRPr="00980974">
        <w:rPr>
          <w:rFonts w:ascii="Arial" w:hAnsi="Arial" w:cs="Arial"/>
        </w:rPr>
        <w:t>Lähteet:</w:t>
      </w:r>
    </w:p>
    <w:p w14:paraId="626F118A" w14:textId="77777777" w:rsidR="001A22F7" w:rsidRPr="00980974" w:rsidRDefault="001A22F7" w:rsidP="001A22F7">
      <w:pPr>
        <w:rPr>
          <w:rFonts w:ascii="Arial" w:hAnsi="Arial" w:cs="Arial"/>
        </w:rPr>
      </w:pPr>
      <w:r w:rsidRPr="00980974">
        <w:rPr>
          <w:rFonts w:ascii="Arial" w:hAnsi="Arial" w:cs="Arial"/>
          <w:lang w:val="en-US"/>
        </w:rPr>
        <w:t xml:space="preserve">Eurostat 2018. Economy-wide material flow accounts. </w:t>
      </w:r>
      <w:proofErr w:type="spellStart"/>
      <w:r w:rsidRPr="00980974">
        <w:rPr>
          <w:rFonts w:ascii="Arial" w:hAnsi="Arial" w:cs="Arial"/>
        </w:rPr>
        <w:t>Handbook</w:t>
      </w:r>
      <w:proofErr w:type="spellEnd"/>
      <w:r w:rsidRPr="00980974">
        <w:rPr>
          <w:rFonts w:ascii="Arial" w:hAnsi="Arial" w:cs="Arial"/>
        </w:rPr>
        <w:t xml:space="preserve"> 2018. Saatavilla: </w:t>
      </w:r>
      <w:hyperlink r:id="rId8" w:history="1">
        <w:r w:rsidRPr="00980974">
          <w:rPr>
            <w:rStyle w:val="Hyperlink"/>
            <w:rFonts w:ascii="Arial" w:hAnsi="Arial" w:cs="Arial"/>
          </w:rPr>
          <w:t>https://ec.europa.eu/eurostat/documents/3859598/9117556/KS-GQ-18-006-EN-N.pdf/b621b8ce-2792-47ff-9d10-067d2b8aac4b</w:t>
        </w:r>
      </w:hyperlink>
    </w:p>
    <w:p w14:paraId="5A00BB44" w14:textId="77777777" w:rsidR="001A22F7" w:rsidRPr="00980974" w:rsidRDefault="001A22F7" w:rsidP="001A22F7">
      <w:pPr>
        <w:rPr>
          <w:rStyle w:val="Hyperlink"/>
          <w:rFonts w:ascii="Arial" w:hAnsi="Arial" w:cs="Arial"/>
        </w:rPr>
      </w:pPr>
      <w:r w:rsidRPr="00980974">
        <w:rPr>
          <w:rFonts w:ascii="Arial" w:hAnsi="Arial" w:cs="Arial"/>
        </w:rPr>
        <w:t xml:space="preserve">Liikennevirasto 2018. Tierakenteen suunnittelu. Liikenneviraston ohjeita 38/2018. 28.11.2018. ISBN 978-952-317-632-4. Saatavilla: </w:t>
      </w:r>
      <w:hyperlink r:id="rId9" w:history="1">
        <w:r w:rsidRPr="00980974">
          <w:rPr>
            <w:rStyle w:val="Hyperlink"/>
            <w:rFonts w:ascii="Arial" w:hAnsi="Arial" w:cs="Arial"/>
          </w:rPr>
          <w:t>https://julkaisut.vayla.fi/pdf8/lo_2018-38_tierakenteen_suunnittelu_web.pdf</w:t>
        </w:r>
      </w:hyperlink>
    </w:p>
    <w:p w14:paraId="691CFB43" w14:textId="77777777" w:rsidR="001A22F7" w:rsidRPr="00980974" w:rsidRDefault="001A22F7" w:rsidP="001A22F7">
      <w:pPr>
        <w:rPr>
          <w:rFonts w:ascii="Arial" w:hAnsi="Arial" w:cs="Arial"/>
        </w:rPr>
      </w:pPr>
      <w:proofErr w:type="spellStart"/>
      <w:r w:rsidRPr="00980974">
        <w:rPr>
          <w:rFonts w:ascii="Arial" w:hAnsi="Arial" w:cs="Arial"/>
        </w:rPr>
        <w:t>Pekkaniska</w:t>
      </w:r>
      <w:proofErr w:type="spellEnd"/>
      <w:r w:rsidRPr="00980974">
        <w:rPr>
          <w:rFonts w:ascii="Arial" w:hAnsi="Arial" w:cs="Arial"/>
        </w:rPr>
        <w:t xml:space="preserve"> Oy. Ominaispainotaulukko1000kg/m3. Saatavilla: </w:t>
      </w:r>
      <w:hyperlink r:id="rId10" w:history="1">
        <w:r w:rsidRPr="00980974">
          <w:rPr>
            <w:rStyle w:val="Hyperlink"/>
            <w:rFonts w:ascii="Arial" w:hAnsi="Arial" w:cs="Arial"/>
          </w:rPr>
          <w:t>https://www.pekkaniska.com/site/assets/files/1915/ominaispainotaulukko_nettisivuille.pdf</w:t>
        </w:r>
      </w:hyperlink>
    </w:p>
    <w:p w14:paraId="17E03832" w14:textId="77777777" w:rsidR="001A22F7" w:rsidRPr="00980974" w:rsidRDefault="001A22F7" w:rsidP="001A22F7">
      <w:pPr>
        <w:rPr>
          <w:rFonts w:ascii="Arial" w:hAnsi="Arial" w:cs="Arial"/>
        </w:rPr>
      </w:pPr>
      <w:r w:rsidRPr="00980974">
        <w:rPr>
          <w:rFonts w:ascii="Arial" w:hAnsi="Arial" w:cs="Arial"/>
        </w:rPr>
        <w:lastRenderedPageBreak/>
        <w:t xml:space="preserve">Virtala, P 2016. Tien rakenteellisen kunnon hallinta. Laskennallisen kestävyystarkastelun periaatteet. Liikenneviraston tutkimuksia ja selvityksiä15/2016. Saatavilla: </w:t>
      </w:r>
      <w:hyperlink r:id="rId11" w:history="1">
        <w:r w:rsidRPr="00980974">
          <w:rPr>
            <w:rStyle w:val="Hyperlink"/>
            <w:rFonts w:ascii="Arial" w:hAnsi="Arial" w:cs="Arial"/>
          </w:rPr>
          <w:t>https://julkaisut.vayla.fi/pdf8/lts_2016-15_tien_rakenteellisen_web.pdf</w:t>
        </w:r>
      </w:hyperlink>
    </w:p>
    <w:p w14:paraId="0FD89D80" w14:textId="77777777" w:rsidR="001A22F7" w:rsidRPr="00980974" w:rsidRDefault="001A22F7" w:rsidP="001A22F7">
      <w:pPr>
        <w:rPr>
          <w:rFonts w:ascii="Arial" w:hAnsi="Arial" w:cs="Arial"/>
        </w:rPr>
      </w:pPr>
    </w:p>
    <w:p w14:paraId="61EE01F0" w14:textId="77777777" w:rsidR="001A22F7" w:rsidRPr="00980974" w:rsidRDefault="001A22F7"/>
    <w:sectPr w:rsidR="001A22F7" w:rsidRPr="0098097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F7"/>
    <w:rsid w:val="0011149A"/>
    <w:rsid w:val="001A22F7"/>
    <w:rsid w:val="0098097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BC772"/>
  <w15:chartTrackingRefBased/>
  <w15:docId w15:val="{9B7FE807-2DAF-493D-893C-122019BF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2F7"/>
  </w:style>
  <w:style w:type="paragraph" w:styleId="Heading1">
    <w:name w:val="heading 1"/>
    <w:basedOn w:val="Normal"/>
    <w:link w:val="Heading1Char"/>
    <w:uiPriority w:val="9"/>
    <w:qFormat/>
    <w:rsid w:val="001A22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2F7"/>
    <w:rPr>
      <w:rFonts w:ascii="Times New Roman" w:eastAsia="Times New Roman" w:hAnsi="Times New Roman" w:cs="Times New Roman"/>
      <w:b/>
      <w:bCs/>
      <w:kern w:val="36"/>
      <w:sz w:val="48"/>
      <w:szCs w:val="48"/>
      <w:lang w:eastAsia="fi-FI"/>
    </w:rPr>
  </w:style>
  <w:style w:type="table" w:styleId="TableGrid">
    <w:name w:val="Table Grid"/>
    <w:basedOn w:val="TableNormal"/>
    <w:uiPriority w:val="39"/>
    <w:rsid w:val="001A2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2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2F7"/>
    <w:rPr>
      <w:rFonts w:ascii="Segoe UI" w:hAnsi="Segoe UI" w:cs="Segoe UI"/>
      <w:sz w:val="18"/>
      <w:szCs w:val="18"/>
    </w:rPr>
  </w:style>
  <w:style w:type="character" w:styleId="Hyperlink">
    <w:name w:val="Hyperlink"/>
    <w:basedOn w:val="DefaultParagraphFont"/>
    <w:uiPriority w:val="99"/>
    <w:unhideWhenUsed/>
    <w:rsid w:val="001A22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stat/documents/3859598/9117556/KS-GQ-18-006-EN-N.pdf/b621b8ce-2792-47ff-9d10-067d2b8aac4b"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julkaisut.vayla.fi/pdf8/lts_2016-15_tien_rakenteellisen_web.pdf" TargetMode="External"/><Relationship Id="rId5" Type="http://schemas.openxmlformats.org/officeDocument/2006/relationships/image" Target="media/image2.png"/><Relationship Id="rId10" Type="http://schemas.openxmlformats.org/officeDocument/2006/relationships/hyperlink" Target="https://www.pekkaniska.com/site/assets/files/1915/ominaispainotaulukko_nettisivuille.pdf" TargetMode="External"/><Relationship Id="rId4" Type="http://schemas.openxmlformats.org/officeDocument/2006/relationships/image" Target="media/image1.png"/><Relationship Id="rId9" Type="http://schemas.openxmlformats.org/officeDocument/2006/relationships/hyperlink" Target="https://julkaisut.vayla.fi/pdf8/lo_2018-38_tierakenteen_suunnittelu_web.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970</Words>
  <Characters>7861</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Company>Kaakkois-Suomen Ammattikorkeakoulu Oy</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Malk Vuokko</dc:creator>
  <cp:keywords/>
  <dc:description/>
  <cp:lastModifiedBy>Malk Vuokko</cp:lastModifiedBy>
  <cp:revision>1</cp:revision>
  <dcterms:created xsi:type="dcterms:W3CDTF">2021-09-14T17:13:00Z</dcterms:created>
  <dcterms:modified xsi:type="dcterms:W3CDTF">2021-09-14T17:26:00Z</dcterms:modified>
</cp:coreProperties>
</file>